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6E1AD" w14:textId="5753EFC5" w:rsidR="001E104C" w:rsidRDefault="001E104C">
      <w:r w:rsidRPr="007929FB">
        <w:rPr>
          <w:rFonts w:ascii="Calibri" w:hAnsi="Calibri" w:cs="Calibri"/>
          <w:noProof/>
          <w:sz w:val="24"/>
          <w:szCs w:val="24"/>
        </w:rPr>
        <w:drawing>
          <wp:anchor distT="0" distB="0" distL="0" distR="0" simplePos="0" relativeHeight="251659264" behindDoc="0" locked="0" layoutInCell="1" allowOverlap="1" wp14:anchorId="4A223E3E" wp14:editId="5B0324C3">
            <wp:simplePos x="0" y="0"/>
            <wp:positionH relativeFrom="margin">
              <wp:posOffset>5305425</wp:posOffset>
            </wp:positionH>
            <wp:positionV relativeFrom="paragraph">
              <wp:posOffset>-447675</wp:posOffset>
            </wp:positionV>
            <wp:extent cx="842640" cy="999343"/>
            <wp:effectExtent l="0" t="0" r="0" b="0"/>
            <wp:wrapNone/>
            <wp:docPr id="2" name="image1.jpeg"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logo&#10;&#10;Description automatically generated"/>
                    <pic:cNvPicPr/>
                  </pic:nvPicPr>
                  <pic:blipFill>
                    <a:blip r:embed="rId7" cstate="print"/>
                    <a:stretch>
                      <a:fillRect/>
                    </a:stretch>
                  </pic:blipFill>
                  <pic:spPr>
                    <a:xfrm>
                      <a:off x="0" y="0"/>
                      <a:ext cx="842640" cy="999343"/>
                    </a:xfrm>
                    <a:prstGeom prst="rect">
                      <a:avLst/>
                    </a:prstGeom>
                  </pic:spPr>
                </pic:pic>
              </a:graphicData>
            </a:graphic>
          </wp:anchor>
        </w:drawing>
      </w:r>
    </w:p>
    <w:p w14:paraId="2C2DB8D4" w14:textId="77777777" w:rsidR="001E104C" w:rsidRDefault="001E104C" w:rsidP="001E104C">
      <w:pPr>
        <w:spacing w:after="0" w:line="240" w:lineRule="auto"/>
        <w:jc w:val="center"/>
        <w:rPr>
          <w:rFonts w:ascii="Calibri" w:hAnsi="Calibri" w:cs="Calibri"/>
          <w:b/>
          <w:bCs/>
          <w:lang w:val="en-GB"/>
        </w:rPr>
      </w:pPr>
    </w:p>
    <w:p w14:paraId="71186565" w14:textId="77777777" w:rsidR="001E104C" w:rsidRDefault="001E104C" w:rsidP="00403267">
      <w:pPr>
        <w:spacing w:after="0" w:line="240" w:lineRule="auto"/>
        <w:rPr>
          <w:rFonts w:ascii="Calibri" w:hAnsi="Calibri" w:cs="Calibri"/>
          <w:b/>
          <w:bCs/>
          <w:lang w:val="en-GB"/>
        </w:rPr>
      </w:pPr>
    </w:p>
    <w:p w14:paraId="4D493EED" w14:textId="77777777" w:rsidR="002663A4" w:rsidRDefault="002663A4" w:rsidP="001E104C">
      <w:pPr>
        <w:spacing w:after="0" w:line="240" w:lineRule="auto"/>
        <w:jc w:val="center"/>
        <w:rPr>
          <w:rFonts w:ascii="Calibri" w:hAnsi="Calibri" w:cs="Calibri"/>
          <w:b/>
          <w:bCs/>
          <w:sz w:val="28"/>
          <w:szCs w:val="28"/>
          <w:lang w:val="en-GB"/>
        </w:rPr>
      </w:pPr>
    </w:p>
    <w:p w14:paraId="2BD05E7B" w14:textId="3C6D6F07" w:rsidR="000A0D17" w:rsidRDefault="0050338F" w:rsidP="001E104C">
      <w:pPr>
        <w:spacing w:after="0" w:line="240" w:lineRule="auto"/>
        <w:jc w:val="center"/>
        <w:rPr>
          <w:rFonts w:ascii="Calibri" w:hAnsi="Calibri" w:cs="Calibri"/>
          <w:b/>
          <w:bCs/>
          <w:sz w:val="28"/>
          <w:szCs w:val="28"/>
          <w:lang w:val="en-GB"/>
        </w:rPr>
      </w:pPr>
      <w:r>
        <w:rPr>
          <w:rFonts w:ascii="Calibri" w:hAnsi="Calibri" w:cs="Calibri"/>
          <w:b/>
          <w:bCs/>
          <w:sz w:val="28"/>
          <w:szCs w:val="28"/>
          <w:lang w:val="en-GB"/>
        </w:rPr>
        <w:t xml:space="preserve">GUIDANCE ON THE </w:t>
      </w:r>
      <w:r w:rsidR="00C0177C">
        <w:rPr>
          <w:rFonts w:ascii="Calibri" w:hAnsi="Calibri" w:cs="Calibri"/>
          <w:b/>
          <w:bCs/>
          <w:sz w:val="28"/>
          <w:szCs w:val="28"/>
          <w:lang w:val="en-GB"/>
        </w:rPr>
        <w:t xml:space="preserve">MANAGEMENT </w:t>
      </w:r>
      <w:r w:rsidR="00A47CC1">
        <w:rPr>
          <w:rFonts w:ascii="Calibri" w:hAnsi="Calibri" w:cs="Calibri"/>
          <w:b/>
          <w:bCs/>
          <w:sz w:val="28"/>
          <w:szCs w:val="28"/>
          <w:lang w:val="en-GB"/>
        </w:rPr>
        <w:t xml:space="preserve">OF </w:t>
      </w:r>
      <w:r w:rsidR="000A0D17">
        <w:rPr>
          <w:rFonts w:ascii="Calibri" w:hAnsi="Calibri" w:cs="Calibri"/>
          <w:b/>
          <w:bCs/>
          <w:sz w:val="28"/>
          <w:szCs w:val="28"/>
          <w:lang w:val="en-GB"/>
        </w:rPr>
        <w:t>U</w:t>
      </w:r>
      <w:r w:rsidR="00A47CC1">
        <w:rPr>
          <w:rFonts w:ascii="Calibri" w:hAnsi="Calibri" w:cs="Calibri"/>
          <w:b/>
          <w:bCs/>
          <w:sz w:val="28"/>
          <w:szCs w:val="28"/>
          <w:lang w:val="en-GB"/>
        </w:rPr>
        <w:t>NVACCINATED</w:t>
      </w:r>
    </w:p>
    <w:p w14:paraId="42774A8B" w14:textId="1696619C" w:rsidR="00767833" w:rsidRDefault="00A47CC1" w:rsidP="001E104C">
      <w:pPr>
        <w:spacing w:after="0" w:line="240" w:lineRule="auto"/>
        <w:jc w:val="center"/>
        <w:rPr>
          <w:rFonts w:ascii="Calibri" w:hAnsi="Calibri" w:cs="Calibri"/>
          <w:b/>
          <w:bCs/>
          <w:sz w:val="28"/>
          <w:szCs w:val="28"/>
          <w:lang w:val="en-GB"/>
        </w:rPr>
      </w:pPr>
      <w:r>
        <w:rPr>
          <w:rFonts w:ascii="Calibri" w:hAnsi="Calibri" w:cs="Calibri"/>
          <w:b/>
          <w:bCs/>
          <w:sz w:val="28"/>
          <w:szCs w:val="28"/>
          <w:lang w:val="en-GB"/>
        </w:rPr>
        <w:t>ORTHOPAEDIC PATIENTS</w:t>
      </w:r>
      <w:r w:rsidR="00767833">
        <w:rPr>
          <w:rFonts w:ascii="Calibri" w:hAnsi="Calibri" w:cs="Calibri"/>
          <w:b/>
          <w:bCs/>
          <w:sz w:val="28"/>
          <w:szCs w:val="28"/>
          <w:lang w:val="en-GB"/>
        </w:rPr>
        <w:t xml:space="preserve"> </w:t>
      </w:r>
    </w:p>
    <w:p w14:paraId="48182D60" w14:textId="792F03CC" w:rsidR="001E104C" w:rsidRPr="001E104C" w:rsidRDefault="00E10A05" w:rsidP="001E104C">
      <w:pPr>
        <w:spacing w:after="0" w:line="240" w:lineRule="auto"/>
        <w:jc w:val="center"/>
        <w:rPr>
          <w:rFonts w:ascii="Calibri" w:hAnsi="Calibri" w:cs="Calibri"/>
          <w:sz w:val="28"/>
          <w:szCs w:val="28"/>
          <w:lang w:val="en-GB"/>
        </w:rPr>
      </w:pPr>
      <w:r>
        <w:rPr>
          <w:rFonts w:ascii="Calibri" w:hAnsi="Calibri" w:cs="Calibri"/>
          <w:b/>
          <w:bCs/>
          <w:sz w:val="28"/>
          <w:szCs w:val="28"/>
          <w:lang w:val="en-GB"/>
        </w:rPr>
        <w:t>October</w:t>
      </w:r>
      <w:r w:rsidR="00767833">
        <w:rPr>
          <w:rFonts w:ascii="Calibri" w:hAnsi="Calibri" w:cs="Calibri"/>
          <w:b/>
          <w:bCs/>
          <w:sz w:val="28"/>
          <w:szCs w:val="28"/>
          <w:lang w:val="en-GB"/>
        </w:rPr>
        <w:t xml:space="preserve"> 2021</w:t>
      </w:r>
    </w:p>
    <w:p w14:paraId="03E1D969" w14:textId="05264A48" w:rsidR="001E104C" w:rsidRDefault="001E104C" w:rsidP="001E104C">
      <w:pPr>
        <w:spacing w:after="0" w:line="240" w:lineRule="auto"/>
        <w:rPr>
          <w:rFonts w:ascii="Calibri" w:hAnsi="Calibri" w:cs="Calibri"/>
          <w:lang w:val="en-GB"/>
        </w:rPr>
      </w:pPr>
    </w:p>
    <w:p w14:paraId="28FC5153" w14:textId="77777777" w:rsidR="00403267" w:rsidRDefault="00403267" w:rsidP="001E104C">
      <w:pPr>
        <w:spacing w:after="0" w:line="240" w:lineRule="auto"/>
        <w:rPr>
          <w:rFonts w:ascii="Calibri" w:hAnsi="Calibri" w:cs="Calibri"/>
          <w:lang w:val="en-GB"/>
        </w:rPr>
      </w:pPr>
    </w:p>
    <w:p w14:paraId="0A5E3CC2" w14:textId="77777777" w:rsidR="001E104C" w:rsidRPr="00BE279A" w:rsidRDefault="001E104C" w:rsidP="001E104C">
      <w:pPr>
        <w:pStyle w:val="ListParagraph"/>
        <w:numPr>
          <w:ilvl w:val="0"/>
          <w:numId w:val="1"/>
        </w:numPr>
        <w:spacing w:after="0" w:line="240" w:lineRule="auto"/>
        <w:ind w:left="426" w:hanging="426"/>
        <w:rPr>
          <w:rFonts w:ascii="Calibri" w:hAnsi="Calibri" w:cs="Calibri"/>
          <w:b/>
          <w:bCs/>
          <w:lang w:val="en-GB"/>
        </w:rPr>
      </w:pPr>
      <w:r w:rsidRPr="00BE279A">
        <w:rPr>
          <w:rFonts w:ascii="Calibri" w:hAnsi="Calibri" w:cs="Calibri"/>
          <w:b/>
          <w:bCs/>
          <w:lang w:val="en-GB"/>
        </w:rPr>
        <w:t>Introduction</w:t>
      </w:r>
    </w:p>
    <w:p w14:paraId="021BBC42" w14:textId="67B6854A" w:rsidR="00132153" w:rsidRDefault="001E104C" w:rsidP="00C62A29">
      <w:pPr>
        <w:spacing w:after="0" w:line="240" w:lineRule="auto"/>
        <w:ind w:left="426"/>
        <w:rPr>
          <w:rFonts w:ascii="Calibri" w:hAnsi="Calibri" w:cs="Calibri"/>
          <w:sz w:val="24"/>
          <w:szCs w:val="24"/>
          <w:lang w:val="en-GB"/>
        </w:rPr>
      </w:pPr>
      <w:r w:rsidRPr="00BE279A">
        <w:rPr>
          <w:rFonts w:ascii="Calibri" w:hAnsi="Calibri" w:cs="Calibri"/>
          <w:sz w:val="24"/>
          <w:szCs w:val="24"/>
          <w:lang w:val="en-GB"/>
        </w:rPr>
        <w:t>NZOA</w:t>
      </w:r>
      <w:r w:rsidR="00DE2321">
        <w:rPr>
          <w:rFonts w:ascii="Calibri" w:hAnsi="Calibri" w:cs="Calibri"/>
          <w:sz w:val="24"/>
          <w:szCs w:val="24"/>
          <w:lang w:val="en-GB"/>
        </w:rPr>
        <w:t xml:space="preserve"> </w:t>
      </w:r>
      <w:r w:rsidR="00AA75FE">
        <w:rPr>
          <w:rFonts w:ascii="Calibri" w:hAnsi="Calibri" w:cs="Calibri"/>
          <w:sz w:val="24"/>
          <w:szCs w:val="24"/>
          <w:lang w:val="en-GB"/>
        </w:rPr>
        <w:t xml:space="preserve">Members </w:t>
      </w:r>
      <w:r w:rsidR="00D342F5">
        <w:rPr>
          <w:rFonts w:ascii="Calibri" w:hAnsi="Calibri" w:cs="Calibri"/>
          <w:sz w:val="24"/>
          <w:szCs w:val="24"/>
          <w:lang w:val="en-GB"/>
        </w:rPr>
        <w:t xml:space="preserve">have </w:t>
      </w:r>
      <w:r w:rsidR="00620903">
        <w:rPr>
          <w:rFonts w:ascii="Calibri" w:hAnsi="Calibri" w:cs="Calibri"/>
          <w:sz w:val="24"/>
          <w:szCs w:val="24"/>
          <w:lang w:val="en-GB"/>
        </w:rPr>
        <w:t xml:space="preserve">requested guidance </w:t>
      </w:r>
      <w:r w:rsidR="00D342F5">
        <w:rPr>
          <w:rFonts w:ascii="Calibri" w:hAnsi="Calibri" w:cs="Calibri"/>
          <w:sz w:val="24"/>
          <w:szCs w:val="24"/>
          <w:lang w:val="en-GB"/>
        </w:rPr>
        <w:t xml:space="preserve">on how to respond to </w:t>
      </w:r>
      <w:r w:rsidR="000A0D17">
        <w:rPr>
          <w:rFonts w:ascii="Calibri" w:hAnsi="Calibri" w:cs="Calibri"/>
          <w:sz w:val="24"/>
          <w:szCs w:val="24"/>
          <w:lang w:val="en-GB"/>
        </w:rPr>
        <w:t xml:space="preserve">unvaccinated </w:t>
      </w:r>
      <w:r w:rsidR="00D342F5">
        <w:rPr>
          <w:rFonts w:ascii="Calibri" w:hAnsi="Calibri" w:cs="Calibri"/>
          <w:sz w:val="24"/>
          <w:szCs w:val="24"/>
          <w:lang w:val="en-GB"/>
        </w:rPr>
        <w:t xml:space="preserve">patients </w:t>
      </w:r>
      <w:r w:rsidR="00C62A29">
        <w:rPr>
          <w:rFonts w:ascii="Calibri" w:hAnsi="Calibri" w:cs="Calibri"/>
          <w:sz w:val="24"/>
          <w:szCs w:val="24"/>
          <w:lang w:val="en-GB"/>
        </w:rPr>
        <w:t>who have been referred to</w:t>
      </w:r>
      <w:r w:rsidR="001707C0">
        <w:rPr>
          <w:rFonts w:ascii="Calibri" w:hAnsi="Calibri" w:cs="Calibri"/>
          <w:sz w:val="24"/>
          <w:szCs w:val="24"/>
          <w:lang w:val="en-GB"/>
        </w:rPr>
        <w:t xml:space="preserve"> them</w:t>
      </w:r>
      <w:r w:rsidR="00C62A29">
        <w:rPr>
          <w:rFonts w:ascii="Calibri" w:hAnsi="Calibri" w:cs="Calibri"/>
          <w:sz w:val="24"/>
          <w:szCs w:val="24"/>
          <w:lang w:val="en-GB"/>
        </w:rPr>
        <w:t>.</w:t>
      </w:r>
      <w:r w:rsidR="0037456C">
        <w:rPr>
          <w:rFonts w:ascii="Calibri" w:hAnsi="Calibri" w:cs="Calibri"/>
          <w:sz w:val="24"/>
          <w:szCs w:val="24"/>
          <w:lang w:val="en-GB"/>
        </w:rPr>
        <w:t xml:space="preserve"> This guidance is not intended to be legal advice, it</w:t>
      </w:r>
      <w:r w:rsidR="004F07FD">
        <w:rPr>
          <w:rFonts w:ascii="Calibri" w:hAnsi="Calibri" w:cs="Calibri"/>
          <w:sz w:val="24"/>
          <w:szCs w:val="24"/>
          <w:lang w:val="en-GB"/>
        </w:rPr>
        <w:t xml:space="preserve"> instead serves to highlight the relevant law</w:t>
      </w:r>
      <w:r w:rsidR="00457CE9">
        <w:rPr>
          <w:rFonts w:ascii="Calibri" w:hAnsi="Calibri" w:cs="Calibri"/>
          <w:sz w:val="24"/>
          <w:szCs w:val="24"/>
          <w:lang w:val="en-GB"/>
        </w:rPr>
        <w:t>s,</w:t>
      </w:r>
      <w:r w:rsidR="004F07FD">
        <w:rPr>
          <w:rFonts w:ascii="Calibri" w:hAnsi="Calibri" w:cs="Calibri"/>
          <w:sz w:val="24"/>
          <w:szCs w:val="24"/>
          <w:lang w:val="en-GB"/>
        </w:rPr>
        <w:t xml:space="preserve"> </w:t>
      </w:r>
      <w:proofErr w:type="gramStart"/>
      <w:r w:rsidR="004F07FD">
        <w:rPr>
          <w:rFonts w:ascii="Calibri" w:hAnsi="Calibri" w:cs="Calibri"/>
          <w:sz w:val="24"/>
          <w:szCs w:val="24"/>
          <w:lang w:val="en-GB"/>
        </w:rPr>
        <w:t>standards</w:t>
      </w:r>
      <w:proofErr w:type="gramEnd"/>
      <w:r w:rsidR="004F07FD">
        <w:rPr>
          <w:rFonts w:ascii="Calibri" w:hAnsi="Calibri" w:cs="Calibri"/>
          <w:sz w:val="24"/>
          <w:szCs w:val="24"/>
          <w:lang w:val="en-GB"/>
        </w:rPr>
        <w:t xml:space="preserve"> and ethics.</w:t>
      </w:r>
      <w:r w:rsidR="00132153" w:rsidRPr="00BE279A">
        <w:rPr>
          <w:rFonts w:ascii="Calibri" w:hAnsi="Calibri" w:cs="Calibri"/>
          <w:sz w:val="24"/>
          <w:szCs w:val="24"/>
          <w:lang w:val="en-GB"/>
        </w:rPr>
        <w:t xml:space="preserve"> </w:t>
      </w:r>
    </w:p>
    <w:p w14:paraId="59B9461D" w14:textId="77777777" w:rsidR="001707C0" w:rsidRPr="00BE279A" w:rsidRDefault="001707C0" w:rsidP="00C62A29">
      <w:pPr>
        <w:spacing w:after="0" w:line="240" w:lineRule="auto"/>
        <w:ind w:left="426"/>
        <w:rPr>
          <w:rFonts w:ascii="Calibri" w:hAnsi="Calibri" w:cs="Calibri"/>
          <w:sz w:val="24"/>
          <w:szCs w:val="24"/>
          <w:lang w:val="en-GB"/>
        </w:rPr>
      </w:pPr>
    </w:p>
    <w:p w14:paraId="244D2B60" w14:textId="4EFAF698" w:rsidR="004F07FD" w:rsidRPr="004F07FD" w:rsidRDefault="004F07FD" w:rsidP="001707C0">
      <w:pPr>
        <w:pStyle w:val="ListParagraph"/>
        <w:numPr>
          <w:ilvl w:val="0"/>
          <w:numId w:val="1"/>
        </w:numPr>
        <w:spacing w:after="0" w:line="240" w:lineRule="auto"/>
        <w:ind w:left="426" w:hanging="426"/>
        <w:rPr>
          <w:rFonts w:ascii="Calibri" w:hAnsi="Calibri" w:cs="Calibri"/>
          <w:b/>
          <w:bCs/>
          <w:lang w:val="en-GB"/>
        </w:rPr>
      </w:pPr>
      <w:r>
        <w:rPr>
          <w:rFonts w:ascii="Calibri" w:hAnsi="Calibri" w:cs="Calibri"/>
          <w:b/>
          <w:bCs/>
          <w:lang w:val="en-GB"/>
        </w:rPr>
        <w:t>Human Rights Legislation</w:t>
      </w:r>
    </w:p>
    <w:p w14:paraId="0CD30C06" w14:textId="396CD447" w:rsidR="004F07FD" w:rsidRDefault="006746CE" w:rsidP="006746CE">
      <w:pPr>
        <w:pStyle w:val="ListParagraph"/>
        <w:spacing w:after="0" w:line="240" w:lineRule="auto"/>
        <w:ind w:left="426"/>
        <w:rPr>
          <w:rFonts w:ascii="Calibri" w:hAnsi="Calibri" w:cs="Calibri"/>
          <w:lang w:val="en-GB"/>
        </w:rPr>
      </w:pPr>
      <w:r>
        <w:rPr>
          <w:rFonts w:ascii="Calibri" w:hAnsi="Calibri" w:cs="Calibri"/>
          <w:lang w:val="en-GB"/>
        </w:rPr>
        <w:t>There are two main New Zealand laws that specifically promote and protect human rights. One is the Human Rights Act 1993, and t</w:t>
      </w:r>
      <w:r w:rsidR="00116D23">
        <w:rPr>
          <w:rFonts w:ascii="Calibri" w:hAnsi="Calibri" w:cs="Calibri"/>
          <w:lang w:val="en-GB"/>
        </w:rPr>
        <w:t>h</w:t>
      </w:r>
      <w:r>
        <w:rPr>
          <w:rFonts w:ascii="Calibri" w:hAnsi="Calibri" w:cs="Calibri"/>
          <w:lang w:val="en-GB"/>
        </w:rPr>
        <w:t>e other is the Bill of Rights Act 1990. The New Zea</w:t>
      </w:r>
      <w:r w:rsidR="00116D23">
        <w:rPr>
          <w:rFonts w:ascii="Calibri" w:hAnsi="Calibri" w:cs="Calibri"/>
          <w:lang w:val="en-GB"/>
        </w:rPr>
        <w:t>la</w:t>
      </w:r>
      <w:r>
        <w:rPr>
          <w:rFonts w:ascii="Calibri" w:hAnsi="Calibri" w:cs="Calibri"/>
          <w:lang w:val="en-GB"/>
        </w:rPr>
        <w:t>nd Bil</w:t>
      </w:r>
      <w:r w:rsidR="00116D23">
        <w:rPr>
          <w:rFonts w:ascii="Calibri" w:hAnsi="Calibri" w:cs="Calibri"/>
          <w:lang w:val="en-GB"/>
        </w:rPr>
        <w:t xml:space="preserve">l </w:t>
      </w:r>
      <w:r>
        <w:rPr>
          <w:rFonts w:ascii="Calibri" w:hAnsi="Calibri" w:cs="Calibri"/>
          <w:lang w:val="en-GB"/>
        </w:rPr>
        <w:t xml:space="preserve">of Rights protects the right to life, the right to refuse medical treatment, and the right to manifest one’s religion. The Human Rights Act includes the right not to be </w:t>
      </w:r>
      <w:r w:rsidR="00FA60EA">
        <w:rPr>
          <w:rFonts w:ascii="Calibri" w:hAnsi="Calibri" w:cs="Calibri"/>
          <w:lang w:val="en-GB"/>
        </w:rPr>
        <w:t>discriminated against.  Even during a p</w:t>
      </w:r>
      <w:r w:rsidR="00116D23">
        <w:rPr>
          <w:rFonts w:ascii="Calibri" w:hAnsi="Calibri" w:cs="Calibri"/>
          <w:lang w:val="en-GB"/>
        </w:rPr>
        <w:t>a</w:t>
      </w:r>
      <w:r w:rsidR="00FA60EA">
        <w:rPr>
          <w:rFonts w:ascii="Calibri" w:hAnsi="Calibri" w:cs="Calibri"/>
          <w:lang w:val="en-GB"/>
        </w:rPr>
        <w:t>ndemic, everyone has human rights and freedoms under the Bill of Rights Act and Human Rights Act. However, there are times when limiting these rights and freedoms can be justified under Section 5 of the New Zeal</w:t>
      </w:r>
      <w:r w:rsidR="00116D23">
        <w:rPr>
          <w:rFonts w:ascii="Calibri" w:hAnsi="Calibri" w:cs="Calibri"/>
          <w:lang w:val="en-GB"/>
        </w:rPr>
        <w:t>a</w:t>
      </w:r>
      <w:r w:rsidR="00FA60EA">
        <w:rPr>
          <w:rFonts w:ascii="Calibri" w:hAnsi="Calibri" w:cs="Calibri"/>
          <w:lang w:val="en-GB"/>
        </w:rPr>
        <w:t>nd Bill of Rights Act.</w:t>
      </w:r>
    </w:p>
    <w:p w14:paraId="50B10F65" w14:textId="33A86F3B" w:rsidR="00FA60EA" w:rsidRDefault="00FA60EA" w:rsidP="006746CE">
      <w:pPr>
        <w:pStyle w:val="ListParagraph"/>
        <w:spacing w:after="0" w:line="240" w:lineRule="auto"/>
        <w:ind w:left="426"/>
        <w:rPr>
          <w:rFonts w:ascii="Calibri" w:hAnsi="Calibri" w:cs="Calibri"/>
          <w:lang w:val="en-GB"/>
        </w:rPr>
      </w:pPr>
    </w:p>
    <w:p w14:paraId="5FC00698" w14:textId="08788214" w:rsidR="00FA60EA" w:rsidRDefault="00FA60EA" w:rsidP="006746CE">
      <w:pPr>
        <w:pStyle w:val="ListParagraph"/>
        <w:spacing w:after="0" w:line="240" w:lineRule="auto"/>
        <w:ind w:left="426"/>
        <w:rPr>
          <w:rFonts w:ascii="Calibri" w:hAnsi="Calibri" w:cs="Calibri"/>
          <w:lang w:val="en-GB"/>
        </w:rPr>
      </w:pPr>
      <w:r>
        <w:rPr>
          <w:rFonts w:ascii="Calibri" w:hAnsi="Calibri" w:cs="Calibri"/>
          <w:lang w:val="en-GB"/>
        </w:rPr>
        <w:t>A recent case in the Hight Court considered this and concluded that the benefits of the vaccine outweighed the potential discrimination against the complainant, and that the limitation of rights was proportionate and justified. T</w:t>
      </w:r>
      <w:r w:rsidR="00116D23">
        <w:rPr>
          <w:rFonts w:ascii="Calibri" w:hAnsi="Calibri" w:cs="Calibri"/>
          <w:lang w:val="en-GB"/>
        </w:rPr>
        <w:t>h</w:t>
      </w:r>
      <w:r>
        <w:rPr>
          <w:rFonts w:ascii="Calibri" w:hAnsi="Calibri" w:cs="Calibri"/>
          <w:lang w:val="en-GB"/>
        </w:rPr>
        <w:t>e Judge decided the scientific supp</w:t>
      </w:r>
      <w:r w:rsidR="00490C99">
        <w:rPr>
          <w:rFonts w:ascii="Calibri" w:hAnsi="Calibri" w:cs="Calibri"/>
          <w:lang w:val="en-GB"/>
        </w:rPr>
        <w:t>ort for the vaccine and the benefits of the COVID-19 Public Health Response (</w:t>
      </w:r>
      <w:r w:rsidR="00116D23">
        <w:rPr>
          <w:rFonts w:ascii="Calibri" w:hAnsi="Calibri" w:cs="Calibri"/>
          <w:lang w:val="en-GB"/>
        </w:rPr>
        <w:t>V</w:t>
      </w:r>
      <w:r w:rsidR="00490C99">
        <w:rPr>
          <w:rFonts w:ascii="Calibri" w:hAnsi="Calibri" w:cs="Calibri"/>
          <w:lang w:val="en-GB"/>
        </w:rPr>
        <w:t xml:space="preserve">accinations) Order 2021 to </w:t>
      </w:r>
      <w:r w:rsidR="00116D23">
        <w:rPr>
          <w:rFonts w:ascii="Calibri" w:hAnsi="Calibri" w:cs="Calibri"/>
          <w:lang w:val="en-GB"/>
        </w:rPr>
        <w:t>the wider community outweighed any potential discrimination against the employees.  Whilst this decision does not directly apply to private businesses, it is illustrative.</w:t>
      </w:r>
    </w:p>
    <w:p w14:paraId="3ED44235" w14:textId="77777777" w:rsidR="00116D23" w:rsidRPr="006746CE" w:rsidRDefault="00116D23" w:rsidP="006746CE">
      <w:pPr>
        <w:pStyle w:val="ListParagraph"/>
        <w:spacing w:after="0" w:line="240" w:lineRule="auto"/>
        <w:ind w:left="426"/>
        <w:rPr>
          <w:rFonts w:ascii="Calibri" w:hAnsi="Calibri" w:cs="Calibri"/>
          <w:lang w:val="en-GB"/>
        </w:rPr>
      </w:pPr>
    </w:p>
    <w:p w14:paraId="60BE883F" w14:textId="58D18450" w:rsidR="00534BE3" w:rsidRPr="00534BE3" w:rsidRDefault="00534BE3" w:rsidP="001707C0">
      <w:pPr>
        <w:pStyle w:val="ListParagraph"/>
        <w:numPr>
          <w:ilvl w:val="0"/>
          <w:numId w:val="1"/>
        </w:numPr>
        <w:spacing w:after="0" w:line="240" w:lineRule="auto"/>
        <w:ind w:left="426" w:hanging="426"/>
        <w:rPr>
          <w:rFonts w:ascii="Calibri" w:hAnsi="Calibri" w:cs="Calibri"/>
          <w:b/>
          <w:bCs/>
          <w:lang w:val="en-GB"/>
        </w:rPr>
      </w:pPr>
      <w:r>
        <w:rPr>
          <w:rFonts w:ascii="Calibri" w:hAnsi="Calibri" w:cs="Calibri"/>
          <w:b/>
          <w:bCs/>
          <w:lang w:val="en-GB"/>
        </w:rPr>
        <w:t>Health and Safety</w:t>
      </w:r>
    </w:p>
    <w:p w14:paraId="78CDC641" w14:textId="06ED50ED" w:rsidR="00534BE3" w:rsidRDefault="00534BE3" w:rsidP="00534BE3">
      <w:pPr>
        <w:pStyle w:val="ListParagraph"/>
        <w:spacing w:after="0" w:line="240" w:lineRule="auto"/>
        <w:ind w:left="426"/>
        <w:rPr>
          <w:rFonts w:ascii="Calibri" w:hAnsi="Calibri" w:cs="Calibri"/>
          <w:lang w:val="en-GB"/>
        </w:rPr>
      </w:pPr>
      <w:r>
        <w:rPr>
          <w:rFonts w:ascii="Calibri" w:hAnsi="Calibri" w:cs="Calibri"/>
          <w:lang w:val="en-GB"/>
        </w:rPr>
        <w:t xml:space="preserve">The Health and Safety </w:t>
      </w:r>
      <w:r w:rsidR="005543CD">
        <w:rPr>
          <w:rFonts w:ascii="Calibri" w:hAnsi="Calibri" w:cs="Calibri"/>
          <w:lang w:val="en-GB"/>
        </w:rPr>
        <w:t>at work Act applies to employees and contractors. The Act requires that workers and others are given the highest level of protection from workplace h</w:t>
      </w:r>
      <w:r w:rsidR="005322DB">
        <w:rPr>
          <w:rFonts w:ascii="Calibri" w:hAnsi="Calibri" w:cs="Calibri"/>
          <w:lang w:val="en-GB"/>
        </w:rPr>
        <w:t>ealth and safety risks, so far as is reasonably practicable. This includes risks to both physical and mental health</w:t>
      </w:r>
      <w:r w:rsidR="002918AE">
        <w:rPr>
          <w:rFonts w:ascii="Calibri" w:hAnsi="Calibri" w:cs="Calibri"/>
          <w:lang w:val="en-GB"/>
        </w:rPr>
        <w:t xml:space="preserve">. </w:t>
      </w:r>
      <w:r w:rsidR="005322DB">
        <w:rPr>
          <w:rFonts w:ascii="Calibri" w:hAnsi="Calibri" w:cs="Calibri"/>
          <w:lang w:val="en-GB"/>
        </w:rPr>
        <w:t>A worker has the right to stop work, or refuse to carry out work, if they believe that doing the work would expose them, or anyone else, to a serious risk to health or safety from an immediate or imminent hazard.</w:t>
      </w:r>
    </w:p>
    <w:p w14:paraId="4CF698F3" w14:textId="77777777" w:rsidR="002918AE" w:rsidRDefault="002918AE" w:rsidP="00534BE3">
      <w:pPr>
        <w:pStyle w:val="ListParagraph"/>
        <w:spacing w:after="0" w:line="240" w:lineRule="auto"/>
        <w:ind w:left="426"/>
        <w:rPr>
          <w:rFonts w:ascii="Calibri" w:hAnsi="Calibri" w:cs="Calibri"/>
          <w:lang w:val="en-GB"/>
        </w:rPr>
      </w:pPr>
    </w:p>
    <w:p w14:paraId="419DA951" w14:textId="38DDC07F" w:rsidR="005322DB" w:rsidRDefault="002918AE" w:rsidP="00534BE3">
      <w:pPr>
        <w:pStyle w:val="ListParagraph"/>
        <w:spacing w:after="0" w:line="240" w:lineRule="auto"/>
        <w:ind w:left="426"/>
        <w:rPr>
          <w:rFonts w:ascii="Calibri" w:hAnsi="Calibri" w:cs="Calibri"/>
          <w:lang w:val="en-GB"/>
        </w:rPr>
      </w:pPr>
      <w:r>
        <w:rPr>
          <w:rFonts w:ascii="Calibri" w:hAnsi="Calibri" w:cs="Calibri"/>
          <w:lang w:val="en-GB"/>
        </w:rPr>
        <w:t>This Act applies to you as employe</w:t>
      </w:r>
      <w:r w:rsidR="00391AC0">
        <w:rPr>
          <w:rFonts w:ascii="Calibri" w:hAnsi="Calibri" w:cs="Calibri"/>
          <w:lang w:val="en-GB"/>
        </w:rPr>
        <w:t>r</w:t>
      </w:r>
      <w:r>
        <w:rPr>
          <w:rFonts w:ascii="Calibri" w:hAnsi="Calibri" w:cs="Calibri"/>
          <w:lang w:val="en-GB"/>
        </w:rPr>
        <w:t xml:space="preserve">s, and there are significant </w:t>
      </w:r>
      <w:r w:rsidR="00391AC0">
        <w:rPr>
          <w:rFonts w:ascii="Calibri" w:hAnsi="Calibri" w:cs="Calibri"/>
          <w:lang w:val="en-GB"/>
        </w:rPr>
        <w:t>fines</w:t>
      </w:r>
      <w:r>
        <w:rPr>
          <w:rFonts w:ascii="Calibri" w:hAnsi="Calibri" w:cs="Calibri"/>
          <w:lang w:val="en-GB"/>
        </w:rPr>
        <w:t xml:space="preserve"> for failure to comply.</w:t>
      </w:r>
    </w:p>
    <w:p w14:paraId="2E2E9C48" w14:textId="233E8BB8" w:rsidR="006B218C" w:rsidRDefault="006B218C">
      <w:pPr>
        <w:rPr>
          <w:rFonts w:ascii="Calibri" w:eastAsia="Times New Roman" w:hAnsi="Calibri" w:cs="Calibri"/>
          <w:b/>
          <w:bCs/>
          <w:sz w:val="24"/>
          <w:szCs w:val="24"/>
          <w:lang w:val="en-GB"/>
        </w:rPr>
      </w:pPr>
      <w:r>
        <w:rPr>
          <w:rFonts w:ascii="Calibri" w:hAnsi="Calibri" w:cs="Calibri"/>
          <w:b/>
          <w:bCs/>
          <w:lang w:val="en-GB"/>
        </w:rPr>
        <w:br w:type="page"/>
      </w:r>
    </w:p>
    <w:p w14:paraId="116E8C85" w14:textId="392E7FE9" w:rsidR="001707C0" w:rsidRDefault="001707C0" w:rsidP="001707C0">
      <w:pPr>
        <w:pStyle w:val="ListParagraph"/>
        <w:numPr>
          <w:ilvl w:val="0"/>
          <w:numId w:val="1"/>
        </w:numPr>
        <w:spacing w:after="0" w:line="240" w:lineRule="auto"/>
        <w:ind w:left="426" w:hanging="426"/>
        <w:rPr>
          <w:rFonts w:ascii="Calibri" w:hAnsi="Calibri" w:cs="Calibri"/>
          <w:b/>
          <w:bCs/>
          <w:lang w:val="en-GB"/>
        </w:rPr>
      </w:pPr>
      <w:r>
        <w:rPr>
          <w:rFonts w:ascii="Calibri" w:hAnsi="Calibri" w:cs="Calibri"/>
          <w:b/>
          <w:bCs/>
          <w:lang w:val="en-GB"/>
        </w:rPr>
        <w:lastRenderedPageBreak/>
        <w:t>Guidance from Regulators</w:t>
      </w:r>
    </w:p>
    <w:p w14:paraId="47EDE8E8" w14:textId="7B75032D" w:rsidR="00FB165B" w:rsidRDefault="00FB165B" w:rsidP="00FB165B">
      <w:pPr>
        <w:pStyle w:val="ListParagraph"/>
        <w:spacing w:after="0" w:line="240" w:lineRule="auto"/>
        <w:ind w:left="426"/>
        <w:rPr>
          <w:rFonts w:ascii="Calibri" w:hAnsi="Calibri" w:cs="Calibri"/>
          <w:lang w:val="en-GB"/>
        </w:rPr>
      </w:pPr>
      <w:r>
        <w:rPr>
          <w:rFonts w:ascii="Calibri" w:hAnsi="Calibri" w:cs="Calibri"/>
          <w:lang w:val="en-GB"/>
        </w:rPr>
        <w:t xml:space="preserve">As the COVID-19 pandemic is an unprecedented event, there is little guidance available. </w:t>
      </w:r>
    </w:p>
    <w:p w14:paraId="5307C883" w14:textId="77777777" w:rsidR="006B218C" w:rsidRDefault="006B218C" w:rsidP="00FB165B">
      <w:pPr>
        <w:pStyle w:val="ListParagraph"/>
        <w:spacing w:after="0" w:line="240" w:lineRule="auto"/>
        <w:ind w:left="426"/>
        <w:rPr>
          <w:rFonts w:ascii="Calibri" w:hAnsi="Calibri" w:cs="Calibri"/>
          <w:lang w:val="en-GB"/>
        </w:rPr>
      </w:pPr>
    </w:p>
    <w:p w14:paraId="4F189639" w14:textId="02F3AB40" w:rsidR="00FB165B" w:rsidRDefault="001D1D05" w:rsidP="00FB165B">
      <w:pPr>
        <w:pStyle w:val="ListParagraph"/>
        <w:spacing w:after="0" w:line="240" w:lineRule="auto"/>
        <w:ind w:left="993" w:hanging="567"/>
        <w:rPr>
          <w:rFonts w:ascii="Calibri" w:hAnsi="Calibri" w:cs="Calibri"/>
          <w:lang w:val="en-GB"/>
        </w:rPr>
      </w:pPr>
      <w:r>
        <w:rPr>
          <w:rFonts w:ascii="Calibri" w:hAnsi="Calibri" w:cs="Calibri"/>
          <w:b/>
          <w:bCs/>
          <w:lang w:val="en-GB"/>
        </w:rPr>
        <w:t>4.1</w:t>
      </w:r>
      <w:r>
        <w:rPr>
          <w:rFonts w:ascii="Calibri" w:hAnsi="Calibri" w:cs="Calibri"/>
          <w:b/>
          <w:bCs/>
          <w:lang w:val="en-GB"/>
        </w:rPr>
        <w:tab/>
      </w:r>
      <w:r w:rsidR="00FB165B">
        <w:rPr>
          <w:rFonts w:ascii="Calibri" w:hAnsi="Calibri" w:cs="Calibri"/>
          <w:b/>
          <w:bCs/>
          <w:lang w:val="en-GB"/>
        </w:rPr>
        <w:t>The Medical Council of New Zealand (MCNZ)</w:t>
      </w:r>
    </w:p>
    <w:p w14:paraId="7D47D86D" w14:textId="6F24353C" w:rsidR="00FB165B" w:rsidRDefault="00FB165B" w:rsidP="00FB165B">
      <w:pPr>
        <w:pStyle w:val="ListParagraph"/>
        <w:spacing w:after="0" w:line="240" w:lineRule="auto"/>
        <w:ind w:left="993"/>
        <w:rPr>
          <w:rFonts w:ascii="Calibri" w:hAnsi="Calibri" w:cs="Calibri"/>
          <w:lang w:val="en-GB"/>
        </w:rPr>
      </w:pPr>
      <w:r>
        <w:rPr>
          <w:rFonts w:ascii="Calibri" w:hAnsi="Calibri" w:cs="Calibri"/>
          <w:lang w:val="en-GB"/>
        </w:rPr>
        <w:t>We approached the Medical Council of New Zealand.  They advised that they did not provide legal advice or guidance, that they waited until complaints were received and they judged the behaviour of the practitioner against their standards. The following excerpt from the Good Medical Practice Standard, Paragraphs 19-21 was forwarded to us for our consideration:</w:t>
      </w:r>
    </w:p>
    <w:p w14:paraId="4846D7FD" w14:textId="77777777" w:rsidR="00FB165B" w:rsidRDefault="00FB165B" w:rsidP="00FB165B">
      <w:pPr>
        <w:pStyle w:val="ListParagraph"/>
        <w:spacing w:after="0" w:line="240" w:lineRule="auto"/>
        <w:ind w:left="426"/>
        <w:rPr>
          <w:rFonts w:ascii="Calibri" w:hAnsi="Calibri" w:cs="Calibri"/>
          <w:lang w:val="en-GB"/>
        </w:rPr>
      </w:pPr>
    </w:p>
    <w:p w14:paraId="60D8F1A1" w14:textId="77777777" w:rsidR="00FB165B" w:rsidRPr="00F74FF1" w:rsidRDefault="00FB165B" w:rsidP="00FB165B">
      <w:pPr>
        <w:pStyle w:val="ydp83d81c6yiv5416527635msonormal"/>
        <w:spacing w:before="0" w:beforeAutospacing="0" w:after="0" w:afterAutospacing="0"/>
        <w:ind w:left="1560" w:hanging="567"/>
        <w:rPr>
          <w:rFonts w:asciiTheme="minorHAnsi" w:hAnsiTheme="minorHAnsi" w:cstheme="minorHAnsi"/>
          <w:i/>
          <w:iCs/>
          <w:sz w:val="20"/>
          <w:szCs w:val="20"/>
        </w:rPr>
      </w:pPr>
      <w:r w:rsidRPr="00F74FF1">
        <w:rPr>
          <w:rFonts w:asciiTheme="minorHAnsi" w:hAnsiTheme="minorHAnsi" w:cstheme="minorHAnsi"/>
          <w:i/>
          <w:iCs/>
          <w:sz w:val="24"/>
          <w:szCs w:val="24"/>
        </w:rPr>
        <w:t>Personal beliefs and the patient</w:t>
      </w:r>
    </w:p>
    <w:p w14:paraId="7DBA9CD4" w14:textId="77777777" w:rsidR="00FB165B" w:rsidRPr="00940AA3" w:rsidRDefault="00FB165B" w:rsidP="00FB165B">
      <w:pPr>
        <w:pStyle w:val="ydp83d81c6yiv5416527635msonormal"/>
        <w:spacing w:before="0" w:beforeAutospacing="0" w:after="0" w:afterAutospacing="0"/>
        <w:ind w:left="1560" w:hanging="567"/>
        <w:rPr>
          <w:rFonts w:asciiTheme="minorHAnsi" w:hAnsiTheme="minorHAnsi" w:cstheme="minorHAnsi"/>
          <w:i/>
          <w:iCs/>
          <w:color w:val="26282A"/>
          <w:sz w:val="20"/>
          <w:szCs w:val="20"/>
        </w:rPr>
      </w:pPr>
      <w:r w:rsidRPr="000163E1">
        <w:rPr>
          <w:rFonts w:asciiTheme="minorHAnsi" w:hAnsiTheme="minorHAnsi" w:cstheme="minorHAnsi"/>
          <w:i/>
          <w:iCs/>
          <w:color w:val="000000"/>
          <w:sz w:val="24"/>
          <w:szCs w:val="24"/>
        </w:rPr>
        <w:t>19.</w:t>
      </w:r>
      <w:r>
        <w:rPr>
          <w:rFonts w:asciiTheme="minorHAnsi" w:hAnsiTheme="minorHAnsi" w:cstheme="minorHAnsi"/>
          <w:i/>
          <w:iCs/>
          <w:color w:val="000000"/>
          <w:sz w:val="24"/>
          <w:szCs w:val="24"/>
        </w:rPr>
        <w:tab/>
      </w:r>
      <w:r w:rsidRPr="000163E1">
        <w:rPr>
          <w:rFonts w:asciiTheme="minorHAnsi" w:hAnsiTheme="minorHAnsi" w:cstheme="minorHAnsi"/>
          <w:i/>
          <w:iCs/>
          <w:color w:val="000000"/>
          <w:sz w:val="24"/>
          <w:szCs w:val="24"/>
        </w:rPr>
        <w:t>You must not refuse or delay treatment because you believe</w:t>
      </w:r>
      <w:r>
        <w:rPr>
          <w:rFonts w:asciiTheme="minorHAnsi" w:hAnsiTheme="minorHAnsi" w:cstheme="minorHAnsi"/>
          <w:i/>
          <w:iCs/>
          <w:color w:val="000000"/>
          <w:sz w:val="24"/>
          <w:szCs w:val="24"/>
        </w:rPr>
        <w:t xml:space="preserve"> </w:t>
      </w:r>
      <w:r w:rsidRPr="000163E1">
        <w:rPr>
          <w:rFonts w:asciiTheme="minorHAnsi" w:hAnsiTheme="minorHAnsi" w:cstheme="minorHAnsi"/>
          <w:i/>
          <w:iCs/>
          <w:color w:val="000000"/>
          <w:sz w:val="24"/>
          <w:szCs w:val="24"/>
        </w:rPr>
        <w:t xml:space="preserve">that a patient’s actions have contributed to their </w:t>
      </w:r>
      <w:r w:rsidRPr="00940AA3">
        <w:rPr>
          <w:rFonts w:asciiTheme="minorHAnsi" w:hAnsiTheme="minorHAnsi" w:cstheme="minorHAnsi"/>
          <w:i/>
          <w:iCs/>
          <w:color w:val="000000"/>
          <w:sz w:val="24"/>
          <w:szCs w:val="24"/>
        </w:rPr>
        <w:t xml:space="preserve">condition. </w:t>
      </w:r>
      <w:r>
        <w:rPr>
          <w:rFonts w:asciiTheme="minorHAnsi" w:hAnsiTheme="minorHAnsi" w:cstheme="minorHAnsi"/>
          <w:i/>
          <w:iCs/>
          <w:color w:val="000000"/>
          <w:sz w:val="24"/>
          <w:szCs w:val="24"/>
        </w:rPr>
        <w:t>Nor should you unfairly discriminate against patients by allowing your personal views to affect your relationship with them.</w:t>
      </w:r>
    </w:p>
    <w:p w14:paraId="7B1F6E11" w14:textId="77777777" w:rsidR="00FB165B" w:rsidRDefault="00FB165B" w:rsidP="00FB165B">
      <w:pPr>
        <w:pStyle w:val="ydp83d81c6yiv5416527635msonormal"/>
        <w:spacing w:before="0" w:beforeAutospacing="0" w:after="0" w:afterAutospacing="0"/>
        <w:ind w:left="1560" w:hanging="567"/>
        <w:rPr>
          <w:rFonts w:asciiTheme="minorHAnsi" w:hAnsiTheme="minorHAnsi" w:cstheme="minorHAnsi"/>
          <w:i/>
          <w:iCs/>
          <w:color w:val="000000"/>
          <w:sz w:val="24"/>
          <w:szCs w:val="24"/>
        </w:rPr>
      </w:pPr>
      <w:r w:rsidRPr="00940AA3">
        <w:rPr>
          <w:rFonts w:asciiTheme="minorHAnsi" w:hAnsiTheme="minorHAnsi" w:cstheme="minorHAnsi"/>
          <w:i/>
          <w:iCs/>
          <w:color w:val="000000"/>
          <w:sz w:val="24"/>
          <w:szCs w:val="24"/>
        </w:rPr>
        <w:t>20.     Your personal beliefs, including political, religious</w:t>
      </w:r>
      <w:r w:rsidRPr="000163E1">
        <w:rPr>
          <w:rFonts w:asciiTheme="minorHAnsi" w:hAnsiTheme="minorHAnsi" w:cstheme="minorHAnsi"/>
          <w:i/>
          <w:iCs/>
          <w:color w:val="000000"/>
          <w:sz w:val="24"/>
          <w:szCs w:val="24"/>
        </w:rPr>
        <w:t xml:space="preserve"> and moral</w:t>
      </w:r>
      <w:r>
        <w:rPr>
          <w:rFonts w:asciiTheme="minorHAnsi" w:hAnsiTheme="minorHAnsi" w:cstheme="minorHAnsi"/>
          <w:i/>
          <w:iCs/>
          <w:color w:val="000000"/>
          <w:sz w:val="24"/>
          <w:szCs w:val="24"/>
        </w:rPr>
        <w:t xml:space="preserve"> </w:t>
      </w:r>
      <w:r w:rsidRPr="000163E1">
        <w:rPr>
          <w:rFonts w:asciiTheme="minorHAnsi" w:hAnsiTheme="minorHAnsi" w:cstheme="minorHAnsi"/>
          <w:i/>
          <w:iCs/>
          <w:color w:val="000000"/>
          <w:sz w:val="24"/>
          <w:szCs w:val="24"/>
        </w:rPr>
        <w:t>beliefs, should not affect your advice or treatment. If you</w:t>
      </w:r>
      <w:r>
        <w:rPr>
          <w:rFonts w:asciiTheme="minorHAnsi" w:hAnsiTheme="minorHAnsi" w:cstheme="minorHAnsi"/>
          <w:i/>
          <w:iCs/>
          <w:color w:val="000000"/>
          <w:sz w:val="24"/>
          <w:szCs w:val="24"/>
        </w:rPr>
        <w:t xml:space="preserve"> </w:t>
      </w:r>
      <w:r w:rsidRPr="000163E1">
        <w:rPr>
          <w:rFonts w:asciiTheme="minorHAnsi" w:hAnsiTheme="minorHAnsi" w:cstheme="minorHAnsi"/>
          <w:i/>
          <w:iCs/>
          <w:color w:val="000000"/>
          <w:sz w:val="24"/>
          <w:szCs w:val="24"/>
        </w:rPr>
        <w:t>feel your beliefs might affect the advice or treatment you</w:t>
      </w:r>
      <w:r>
        <w:rPr>
          <w:rFonts w:asciiTheme="minorHAnsi" w:hAnsiTheme="minorHAnsi" w:cstheme="minorHAnsi"/>
          <w:i/>
          <w:iCs/>
          <w:color w:val="000000"/>
          <w:sz w:val="24"/>
          <w:szCs w:val="24"/>
        </w:rPr>
        <w:t xml:space="preserve"> </w:t>
      </w:r>
      <w:r w:rsidRPr="000163E1">
        <w:rPr>
          <w:rFonts w:asciiTheme="minorHAnsi" w:hAnsiTheme="minorHAnsi" w:cstheme="minorHAnsi"/>
          <w:i/>
          <w:iCs/>
          <w:color w:val="000000"/>
          <w:sz w:val="24"/>
          <w:szCs w:val="24"/>
        </w:rPr>
        <w:t>provide, you must explain this to patients and tell them</w:t>
      </w:r>
      <w:r>
        <w:rPr>
          <w:rFonts w:asciiTheme="minorHAnsi" w:hAnsiTheme="minorHAnsi" w:cstheme="minorHAnsi"/>
          <w:i/>
          <w:iCs/>
          <w:color w:val="000000"/>
          <w:sz w:val="24"/>
          <w:szCs w:val="24"/>
        </w:rPr>
        <w:t xml:space="preserve"> </w:t>
      </w:r>
      <w:r w:rsidRPr="000163E1">
        <w:rPr>
          <w:rFonts w:asciiTheme="minorHAnsi" w:hAnsiTheme="minorHAnsi" w:cstheme="minorHAnsi"/>
          <w:i/>
          <w:iCs/>
          <w:color w:val="000000"/>
          <w:sz w:val="24"/>
          <w:szCs w:val="24"/>
        </w:rPr>
        <w:t>about their right to see another doctor. You must be satisfied</w:t>
      </w:r>
      <w:r>
        <w:rPr>
          <w:rFonts w:asciiTheme="minorHAnsi" w:hAnsiTheme="minorHAnsi" w:cstheme="minorHAnsi"/>
          <w:i/>
          <w:iCs/>
          <w:color w:val="000000"/>
          <w:sz w:val="24"/>
          <w:szCs w:val="24"/>
        </w:rPr>
        <w:t xml:space="preserve"> </w:t>
      </w:r>
      <w:r w:rsidRPr="000163E1">
        <w:rPr>
          <w:rFonts w:asciiTheme="minorHAnsi" w:hAnsiTheme="minorHAnsi" w:cstheme="minorHAnsi"/>
          <w:i/>
          <w:iCs/>
          <w:color w:val="000000"/>
          <w:sz w:val="24"/>
          <w:szCs w:val="24"/>
        </w:rPr>
        <w:t>that the patient has sufficient information to enable them to</w:t>
      </w:r>
      <w:r>
        <w:rPr>
          <w:rFonts w:asciiTheme="minorHAnsi" w:hAnsiTheme="minorHAnsi" w:cstheme="minorHAnsi"/>
          <w:i/>
          <w:iCs/>
          <w:color w:val="000000"/>
          <w:sz w:val="24"/>
          <w:szCs w:val="24"/>
        </w:rPr>
        <w:t xml:space="preserve"> </w:t>
      </w:r>
      <w:r w:rsidRPr="000163E1">
        <w:rPr>
          <w:rFonts w:asciiTheme="minorHAnsi" w:hAnsiTheme="minorHAnsi" w:cstheme="minorHAnsi"/>
          <w:i/>
          <w:iCs/>
          <w:color w:val="000000"/>
          <w:sz w:val="24"/>
          <w:szCs w:val="24"/>
        </w:rPr>
        <w:t>exercise that right</w:t>
      </w:r>
      <w:r>
        <w:rPr>
          <w:rFonts w:asciiTheme="minorHAnsi" w:hAnsiTheme="minorHAnsi" w:cstheme="minorHAnsi"/>
          <w:i/>
          <w:iCs/>
          <w:color w:val="000000"/>
          <w:sz w:val="24"/>
          <w:szCs w:val="24"/>
        </w:rPr>
        <w:t>.</w:t>
      </w:r>
    </w:p>
    <w:p w14:paraId="7FCE8885" w14:textId="77777777" w:rsidR="00FB165B" w:rsidRPr="000163E1" w:rsidRDefault="00FB165B" w:rsidP="00FB165B">
      <w:pPr>
        <w:pStyle w:val="ydp83d81c6yiv5416527635msonormal"/>
        <w:spacing w:before="0" w:beforeAutospacing="0" w:after="0" w:afterAutospacing="0"/>
        <w:ind w:left="1560" w:hanging="567"/>
        <w:rPr>
          <w:rFonts w:asciiTheme="minorHAnsi" w:hAnsiTheme="minorHAnsi" w:cstheme="minorHAnsi"/>
          <w:i/>
          <w:iCs/>
          <w:color w:val="26282A"/>
          <w:sz w:val="20"/>
          <w:szCs w:val="20"/>
        </w:rPr>
      </w:pPr>
      <w:r w:rsidRPr="000163E1">
        <w:rPr>
          <w:rFonts w:asciiTheme="minorHAnsi" w:hAnsiTheme="minorHAnsi" w:cstheme="minorHAnsi"/>
          <w:i/>
          <w:iCs/>
          <w:color w:val="000000"/>
          <w:sz w:val="24"/>
          <w:szCs w:val="24"/>
        </w:rPr>
        <w:t>21.     Do not express your personal beliefs to your patients in ways</w:t>
      </w:r>
      <w:r>
        <w:rPr>
          <w:rFonts w:asciiTheme="minorHAnsi" w:hAnsiTheme="minorHAnsi" w:cstheme="minorHAnsi"/>
          <w:i/>
          <w:iCs/>
          <w:color w:val="000000"/>
          <w:sz w:val="24"/>
          <w:szCs w:val="24"/>
        </w:rPr>
        <w:t xml:space="preserve"> </w:t>
      </w:r>
      <w:r w:rsidRPr="000163E1">
        <w:rPr>
          <w:rFonts w:asciiTheme="minorHAnsi" w:hAnsiTheme="minorHAnsi" w:cstheme="minorHAnsi"/>
          <w:i/>
          <w:iCs/>
          <w:color w:val="000000"/>
          <w:sz w:val="24"/>
          <w:szCs w:val="24"/>
        </w:rPr>
        <w:t>that exploit their vulnerability or that are likely to cause</w:t>
      </w:r>
      <w:r>
        <w:rPr>
          <w:rFonts w:asciiTheme="minorHAnsi" w:hAnsiTheme="minorHAnsi" w:cstheme="minorHAnsi"/>
          <w:i/>
          <w:iCs/>
          <w:color w:val="000000"/>
          <w:sz w:val="24"/>
          <w:szCs w:val="24"/>
        </w:rPr>
        <w:t xml:space="preserve"> </w:t>
      </w:r>
      <w:r w:rsidRPr="000163E1">
        <w:rPr>
          <w:rFonts w:asciiTheme="minorHAnsi" w:hAnsiTheme="minorHAnsi" w:cstheme="minorHAnsi"/>
          <w:i/>
          <w:iCs/>
          <w:color w:val="000000"/>
          <w:sz w:val="24"/>
          <w:szCs w:val="24"/>
        </w:rPr>
        <w:t>them distress.</w:t>
      </w:r>
    </w:p>
    <w:p w14:paraId="31584A62" w14:textId="77777777" w:rsidR="00FB165B" w:rsidRDefault="00FB165B" w:rsidP="00FB165B">
      <w:pPr>
        <w:pStyle w:val="ListParagraph"/>
        <w:spacing w:after="0" w:line="240" w:lineRule="auto"/>
        <w:ind w:left="426"/>
        <w:rPr>
          <w:rFonts w:ascii="Calibri" w:hAnsi="Calibri" w:cs="Calibri"/>
          <w:lang w:val="en-GB"/>
        </w:rPr>
      </w:pPr>
    </w:p>
    <w:p w14:paraId="232A5304" w14:textId="33D0F633" w:rsidR="00FB165B" w:rsidRDefault="00FB165B" w:rsidP="00FB165B">
      <w:pPr>
        <w:pStyle w:val="ListParagraph"/>
        <w:spacing w:after="0" w:line="240" w:lineRule="auto"/>
        <w:ind w:left="993"/>
        <w:rPr>
          <w:rFonts w:ascii="Calibri" w:hAnsi="Calibri" w:cs="Calibri"/>
          <w:lang w:val="en-GB"/>
        </w:rPr>
      </w:pPr>
      <w:r>
        <w:rPr>
          <w:rFonts w:ascii="Calibri" w:hAnsi="Calibri" w:cs="Calibri"/>
          <w:lang w:val="en-GB"/>
        </w:rPr>
        <w:t>In our opinion, this standard is not particularly relevant to the current situation. Unvaccinated persons have made a choice unless it</w:t>
      </w:r>
      <w:r w:rsidR="007D6842">
        <w:rPr>
          <w:rFonts w:ascii="Calibri" w:hAnsi="Calibri" w:cs="Calibri"/>
          <w:lang w:val="en-GB"/>
        </w:rPr>
        <w:t xml:space="preserve"> i</w:t>
      </w:r>
      <w:r>
        <w:rPr>
          <w:rFonts w:ascii="Calibri" w:hAnsi="Calibri" w:cs="Calibri"/>
          <w:lang w:val="en-GB"/>
        </w:rPr>
        <w:t xml:space="preserve">s due to medical reasons (which are very rare). </w:t>
      </w:r>
      <w:r w:rsidRPr="00CD3318">
        <w:rPr>
          <w:rFonts w:ascii="Calibri" w:hAnsi="Calibri" w:cs="Calibri"/>
          <w:highlight w:val="yellow"/>
          <w:lang w:val="en-GB"/>
        </w:rPr>
        <w:t>A decision not to have an in-person consultation with an unvaccinated person is about the health and safety of your practice and family</w:t>
      </w:r>
      <w:r w:rsidR="007D6842" w:rsidRPr="00CD3318">
        <w:rPr>
          <w:rFonts w:ascii="Calibri" w:hAnsi="Calibri" w:cs="Calibri"/>
          <w:highlight w:val="yellow"/>
          <w:lang w:val="en-GB"/>
        </w:rPr>
        <w:t>, not a personal belief as such</w:t>
      </w:r>
      <w:r w:rsidRPr="00CD3318">
        <w:rPr>
          <w:rFonts w:ascii="Calibri" w:hAnsi="Calibri" w:cs="Calibri"/>
          <w:highlight w:val="yellow"/>
          <w:lang w:val="en-GB"/>
        </w:rPr>
        <w:t>.</w:t>
      </w:r>
    </w:p>
    <w:p w14:paraId="37E4E0A1" w14:textId="29BF89E2" w:rsidR="00FB165B" w:rsidRDefault="00FB165B" w:rsidP="001707C0">
      <w:pPr>
        <w:spacing w:after="0" w:line="240" w:lineRule="auto"/>
        <w:ind w:left="426"/>
        <w:rPr>
          <w:rFonts w:ascii="Calibri" w:hAnsi="Calibri" w:cs="Calibri"/>
          <w:b/>
          <w:bCs/>
          <w:sz w:val="24"/>
          <w:szCs w:val="24"/>
          <w:lang w:val="en-GB"/>
        </w:rPr>
      </w:pPr>
    </w:p>
    <w:p w14:paraId="341F6608" w14:textId="025EC71A" w:rsidR="00FB165B" w:rsidRDefault="00FB165B" w:rsidP="00FB165B">
      <w:pPr>
        <w:pStyle w:val="ListParagraph"/>
        <w:spacing w:after="0" w:line="240" w:lineRule="auto"/>
        <w:ind w:left="993" w:hanging="567"/>
        <w:rPr>
          <w:rFonts w:ascii="Calibri" w:hAnsi="Calibri" w:cs="Calibri"/>
          <w:lang w:val="en-GB"/>
        </w:rPr>
      </w:pPr>
      <w:r>
        <w:rPr>
          <w:rFonts w:ascii="Calibri" w:hAnsi="Calibri" w:cs="Calibri"/>
          <w:b/>
          <w:bCs/>
          <w:lang w:val="en-GB"/>
        </w:rPr>
        <w:t>4.2</w:t>
      </w:r>
      <w:r>
        <w:rPr>
          <w:rFonts w:ascii="Calibri" w:hAnsi="Calibri" w:cs="Calibri"/>
          <w:b/>
          <w:bCs/>
          <w:lang w:val="en-GB"/>
        </w:rPr>
        <w:tab/>
        <w:t>The New Zealand Medical Association (NZMA)</w:t>
      </w:r>
    </w:p>
    <w:p w14:paraId="59119492" w14:textId="435BF0B7" w:rsidR="001707C0" w:rsidRDefault="001707C0" w:rsidP="00FB165B">
      <w:pPr>
        <w:spacing w:after="0" w:line="240" w:lineRule="auto"/>
        <w:ind w:left="993"/>
        <w:rPr>
          <w:rFonts w:ascii="Calibri" w:hAnsi="Calibri" w:cs="Calibri"/>
          <w:sz w:val="24"/>
          <w:szCs w:val="24"/>
          <w:lang w:val="en-GB"/>
        </w:rPr>
      </w:pPr>
      <w:r>
        <w:rPr>
          <w:rFonts w:ascii="Calibri" w:hAnsi="Calibri" w:cs="Calibri"/>
          <w:sz w:val="24"/>
          <w:szCs w:val="24"/>
          <w:lang w:val="en-GB"/>
        </w:rPr>
        <w:t xml:space="preserve">The New Zealand Medical Association (NZMA) Code of Ethics Position Statement, </w:t>
      </w:r>
      <w:r w:rsidRPr="00802162">
        <w:rPr>
          <w:rFonts w:ascii="Calibri" w:hAnsi="Calibri" w:cs="Calibri"/>
          <w:sz w:val="24"/>
          <w:szCs w:val="24"/>
          <w:lang w:val="en-GB"/>
        </w:rPr>
        <w:t xml:space="preserve">Clause 18 </w:t>
      </w:r>
      <w:r>
        <w:rPr>
          <w:rFonts w:ascii="Calibri" w:hAnsi="Calibri" w:cs="Calibri"/>
          <w:sz w:val="24"/>
          <w:szCs w:val="24"/>
          <w:lang w:val="en-GB"/>
        </w:rPr>
        <w:t>is possibly the most helpful we have found:</w:t>
      </w:r>
    </w:p>
    <w:p w14:paraId="127D7F1B" w14:textId="77777777" w:rsidR="001707C0" w:rsidRDefault="001707C0" w:rsidP="001707C0">
      <w:pPr>
        <w:spacing w:after="0" w:line="240" w:lineRule="auto"/>
        <w:ind w:left="426"/>
        <w:rPr>
          <w:rFonts w:ascii="Calibri" w:hAnsi="Calibri" w:cs="Calibri"/>
          <w:sz w:val="24"/>
          <w:szCs w:val="24"/>
          <w:lang w:val="en-GB"/>
        </w:rPr>
      </w:pPr>
    </w:p>
    <w:p w14:paraId="7381EF05" w14:textId="77777777" w:rsidR="001707C0" w:rsidRDefault="001707C0" w:rsidP="00FB165B">
      <w:pPr>
        <w:spacing w:after="0" w:line="240" w:lineRule="auto"/>
        <w:ind w:left="1560"/>
        <w:rPr>
          <w:i/>
          <w:iCs/>
        </w:rPr>
      </w:pPr>
      <w:r>
        <w:rPr>
          <w:i/>
          <w:iCs/>
        </w:rPr>
        <w:t>Doctors have the right, except in an emergency, to refuse to care for a particular patient. In any situation which is not an emergency, doctors may withdraw from or decline to provide care as long as an alternative source of care is available and the appropriate avenue for securing this is known to the patient. Where a doctor does withdraw care from a patient, reasonable notice should be given and an orderly transfer of care facilitated.</w:t>
      </w:r>
    </w:p>
    <w:p w14:paraId="25416232" w14:textId="77777777" w:rsidR="001E104C" w:rsidRPr="00BE279A" w:rsidRDefault="001E104C" w:rsidP="00425493">
      <w:pPr>
        <w:spacing w:after="0" w:line="240" w:lineRule="auto"/>
        <w:rPr>
          <w:rFonts w:ascii="Calibri" w:hAnsi="Calibri" w:cs="Calibri"/>
          <w:sz w:val="24"/>
          <w:szCs w:val="24"/>
          <w:lang w:val="en-GB"/>
        </w:rPr>
      </w:pPr>
    </w:p>
    <w:p w14:paraId="6B90A844" w14:textId="13927834" w:rsidR="0053797C" w:rsidRDefault="0053797C" w:rsidP="0053797C">
      <w:pPr>
        <w:pStyle w:val="ListParagraph"/>
        <w:numPr>
          <w:ilvl w:val="0"/>
          <w:numId w:val="1"/>
        </w:numPr>
        <w:spacing w:after="0" w:line="240" w:lineRule="auto"/>
        <w:ind w:left="426" w:hanging="426"/>
        <w:rPr>
          <w:rFonts w:ascii="Calibri" w:hAnsi="Calibri" w:cs="Calibri"/>
          <w:b/>
          <w:bCs/>
          <w:lang w:val="en-GB"/>
        </w:rPr>
      </w:pPr>
      <w:r>
        <w:rPr>
          <w:rFonts w:ascii="Calibri" w:hAnsi="Calibri" w:cs="Calibri"/>
          <w:b/>
          <w:bCs/>
          <w:lang w:val="en-GB"/>
        </w:rPr>
        <w:t>Unvaccinated Patients</w:t>
      </w:r>
      <w:r w:rsidR="00987FAB">
        <w:rPr>
          <w:rFonts w:ascii="Calibri" w:hAnsi="Calibri" w:cs="Calibri"/>
          <w:b/>
          <w:bCs/>
          <w:lang w:val="en-GB"/>
        </w:rPr>
        <w:t xml:space="preserve"> in Public Facilities</w:t>
      </w:r>
    </w:p>
    <w:p w14:paraId="27942CD8" w14:textId="4F1BA94B" w:rsidR="0053797C" w:rsidRDefault="0053797C" w:rsidP="0053797C">
      <w:pPr>
        <w:pStyle w:val="ListParagraph"/>
        <w:spacing w:after="0" w:line="240" w:lineRule="auto"/>
        <w:ind w:left="426"/>
        <w:rPr>
          <w:rFonts w:ascii="Calibri" w:hAnsi="Calibri" w:cs="Calibri"/>
          <w:lang w:val="en-GB"/>
        </w:rPr>
      </w:pPr>
      <w:r>
        <w:rPr>
          <w:rFonts w:ascii="Calibri" w:hAnsi="Calibri" w:cs="Calibri"/>
          <w:lang w:val="en-GB"/>
        </w:rPr>
        <w:t xml:space="preserve">DHB’s </w:t>
      </w:r>
      <w:proofErr w:type="gramStart"/>
      <w:r>
        <w:rPr>
          <w:rFonts w:ascii="Calibri" w:hAnsi="Calibri" w:cs="Calibri"/>
          <w:lang w:val="en-GB"/>
        </w:rPr>
        <w:t>are able to</w:t>
      </w:r>
      <w:proofErr w:type="gramEnd"/>
      <w:r>
        <w:rPr>
          <w:rFonts w:ascii="Calibri" w:hAnsi="Calibri" w:cs="Calibri"/>
          <w:lang w:val="en-GB"/>
        </w:rPr>
        <w:t xml:space="preserve"> include the COVID vaccination status for all patients</w:t>
      </w:r>
      <w:r w:rsidR="003E2950">
        <w:rPr>
          <w:rFonts w:ascii="Calibri" w:hAnsi="Calibri" w:cs="Calibri"/>
          <w:lang w:val="en-GB"/>
        </w:rPr>
        <w:t xml:space="preserve"> in their patient notes</w:t>
      </w:r>
      <w:r>
        <w:rPr>
          <w:rFonts w:ascii="Calibri" w:hAnsi="Calibri" w:cs="Calibri"/>
          <w:lang w:val="en-GB"/>
        </w:rPr>
        <w:t>.  If this is yet to occur at your DHB, we strongly urge you to insist upon this information.</w:t>
      </w:r>
    </w:p>
    <w:p w14:paraId="7A8922EC" w14:textId="7772F2DC" w:rsidR="00443C0D" w:rsidRDefault="00443C0D">
      <w:pPr>
        <w:rPr>
          <w:rFonts w:ascii="Calibri" w:eastAsia="Times New Roman" w:hAnsi="Calibri" w:cs="Calibri"/>
          <w:sz w:val="24"/>
          <w:szCs w:val="24"/>
          <w:lang w:val="en-GB"/>
        </w:rPr>
      </w:pPr>
      <w:r>
        <w:rPr>
          <w:rFonts w:ascii="Calibri" w:hAnsi="Calibri" w:cs="Calibri"/>
          <w:lang w:val="en-GB"/>
        </w:rPr>
        <w:br w:type="page"/>
      </w:r>
    </w:p>
    <w:p w14:paraId="0FDBD311" w14:textId="77777777" w:rsidR="0053797C" w:rsidRDefault="0053797C" w:rsidP="0053797C">
      <w:pPr>
        <w:pStyle w:val="ListParagraph"/>
        <w:spacing w:after="0" w:line="240" w:lineRule="auto"/>
        <w:ind w:left="426"/>
        <w:rPr>
          <w:rFonts w:ascii="Calibri" w:hAnsi="Calibri" w:cs="Calibri"/>
          <w:lang w:val="en-GB"/>
        </w:rPr>
      </w:pPr>
    </w:p>
    <w:p w14:paraId="7A0DAA5F" w14:textId="7F3CF170" w:rsidR="0053797C" w:rsidRDefault="0053797C" w:rsidP="0053797C">
      <w:pPr>
        <w:pStyle w:val="ListParagraph"/>
        <w:spacing w:after="0" w:line="240" w:lineRule="auto"/>
        <w:ind w:left="426"/>
        <w:rPr>
          <w:rFonts w:ascii="Calibri" w:hAnsi="Calibri" w:cs="Calibri"/>
          <w:lang w:val="en-GB"/>
        </w:rPr>
      </w:pPr>
      <w:r w:rsidRPr="00CD3318">
        <w:rPr>
          <w:rFonts w:ascii="Calibri" w:hAnsi="Calibri" w:cs="Calibri"/>
          <w:highlight w:val="yellow"/>
          <w:lang w:val="en-GB"/>
        </w:rPr>
        <w:t xml:space="preserve">In our view, doctors have a duty of care for acute and emergent presentations in the public health sector.  As you are employees of the DHB, </w:t>
      </w:r>
      <w:r w:rsidR="003E2950" w:rsidRPr="00CD3318">
        <w:rPr>
          <w:rFonts w:ascii="Calibri" w:hAnsi="Calibri" w:cs="Calibri"/>
          <w:highlight w:val="yellow"/>
          <w:lang w:val="en-GB"/>
        </w:rPr>
        <w:t xml:space="preserve">you </w:t>
      </w:r>
      <w:r w:rsidRPr="00CD3318">
        <w:rPr>
          <w:rFonts w:ascii="Calibri" w:hAnsi="Calibri" w:cs="Calibri"/>
          <w:highlight w:val="yellow"/>
          <w:lang w:val="en-GB"/>
        </w:rPr>
        <w:t>will need to treat non-vaccinated public electives and outpatients, however we recommend consideration be given to a different pathway for these patient groups.  Options include a negative COVID test within 72 hours prior to their appointment, and perhaps self-isolation prior to any surgery.</w:t>
      </w:r>
    </w:p>
    <w:p w14:paraId="600753B7" w14:textId="77777777" w:rsidR="00443C0D" w:rsidRDefault="00443C0D" w:rsidP="0053797C">
      <w:pPr>
        <w:pStyle w:val="ListParagraph"/>
        <w:spacing w:after="0" w:line="240" w:lineRule="auto"/>
        <w:ind w:left="426"/>
        <w:rPr>
          <w:rFonts w:ascii="Calibri" w:hAnsi="Calibri" w:cs="Calibri"/>
          <w:lang w:val="en-GB"/>
        </w:rPr>
      </w:pPr>
    </w:p>
    <w:p w14:paraId="2E249F2A" w14:textId="5141A324" w:rsidR="00E6248A" w:rsidRDefault="00132384" w:rsidP="00767833">
      <w:pPr>
        <w:pStyle w:val="ListParagraph"/>
        <w:numPr>
          <w:ilvl w:val="0"/>
          <w:numId w:val="1"/>
        </w:numPr>
        <w:spacing w:after="0" w:line="240" w:lineRule="auto"/>
        <w:ind w:left="426" w:hanging="426"/>
        <w:rPr>
          <w:rFonts w:ascii="Calibri" w:hAnsi="Calibri" w:cs="Calibri"/>
          <w:b/>
          <w:bCs/>
          <w:lang w:val="en-GB"/>
        </w:rPr>
      </w:pPr>
      <w:r>
        <w:rPr>
          <w:rFonts w:ascii="Calibri" w:hAnsi="Calibri" w:cs="Calibri"/>
          <w:b/>
          <w:bCs/>
          <w:lang w:val="en-GB"/>
        </w:rPr>
        <w:t>Unv</w:t>
      </w:r>
      <w:r w:rsidR="00D772A6">
        <w:rPr>
          <w:rFonts w:ascii="Calibri" w:hAnsi="Calibri" w:cs="Calibri"/>
          <w:b/>
          <w:bCs/>
          <w:lang w:val="en-GB"/>
        </w:rPr>
        <w:t>accinated Patients</w:t>
      </w:r>
      <w:r w:rsidR="00C20D71">
        <w:rPr>
          <w:rFonts w:ascii="Calibri" w:hAnsi="Calibri" w:cs="Calibri"/>
          <w:b/>
          <w:bCs/>
          <w:lang w:val="en-GB"/>
        </w:rPr>
        <w:t xml:space="preserve"> in your Private Practice</w:t>
      </w:r>
    </w:p>
    <w:p w14:paraId="3A5E7B97" w14:textId="57C8EE44" w:rsidR="00D772A6" w:rsidRDefault="00F816E7" w:rsidP="00D772A6">
      <w:pPr>
        <w:pStyle w:val="ListParagraph"/>
        <w:spacing w:after="0" w:line="240" w:lineRule="auto"/>
        <w:ind w:left="426"/>
        <w:rPr>
          <w:rFonts w:ascii="Calibri" w:hAnsi="Calibri" w:cs="Calibri"/>
          <w:lang w:val="en-GB"/>
        </w:rPr>
      </w:pPr>
      <w:r>
        <w:rPr>
          <w:rFonts w:ascii="Calibri" w:hAnsi="Calibri" w:cs="Calibri"/>
          <w:lang w:val="en-GB"/>
        </w:rPr>
        <w:t>We suggest that rather than refuse to see a non</w:t>
      </w:r>
      <w:r w:rsidR="008936AF">
        <w:rPr>
          <w:rFonts w:ascii="Calibri" w:hAnsi="Calibri" w:cs="Calibri"/>
          <w:lang w:val="en-GB"/>
        </w:rPr>
        <w:t>-</w:t>
      </w:r>
      <w:r>
        <w:rPr>
          <w:rFonts w:ascii="Calibri" w:hAnsi="Calibri" w:cs="Calibri"/>
          <w:lang w:val="en-GB"/>
        </w:rPr>
        <w:t>COVID vaccinated patient</w:t>
      </w:r>
      <w:r w:rsidR="000F08C7">
        <w:rPr>
          <w:rFonts w:ascii="Calibri" w:hAnsi="Calibri" w:cs="Calibri"/>
          <w:lang w:val="en-GB"/>
        </w:rPr>
        <w:t>, that you make vaccination a requirement for an in-person consultation</w:t>
      </w:r>
      <w:r w:rsidR="007837E4">
        <w:rPr>
          <w:rFonts w:ascii="Calibri" w:hAnsi="Calibri" w:cs="Calibri"/>
          <w:lang w:val="en-GB"/>
        </w:rPr>
        <w:t>.</w:t>
      </w:r>
    </w:p>
    <w:p w14:paraId="58989574" w14:textId="70AA58C8" w:rsidR="007837E4" w:rsidRDefault="007837E4" w:rsidP="00D772A6">
      <w:pPr>
        <w:pStyle w:val="ListParagraph"/>
        <w:spacing w:after="0" w:line="240" w:lineRule="auto"/>
        <w:ind w:left="426"/>
        <w:rPr>
          <w:rFonts w:ascii="Calibri" w:hAnsi="Calibri" w:cs="Calibri"/>
          <w:lang w:val="en-GB"/>
        </w:rPr>
      </w:pPr>
    </w:p>
    <w:p w14:paraId="521CE219" w14:textId="5599673A" w:rsidR="007837E4" w:rsidRDefault="007837E4" w:rsidP="00D772A6">
      <w:pPr>
        <w:pStyle w:val="ListParagraph"/>
        <w:spacing w:after="0" w:line="240" w:lineRule="auto"/>
        <w:ind w:left="426"/>
        <w:rPr>
          <w:rFonts w:ascii="Calibri" w:hAnsi="Calibri" w:cs="Calibri"/>
          <w:lang w:val="en-GB"/>
        </w:rPr>
      </w:pPr>
      <w:r>
        <w:rPr>
          <w:rFonts w:ascii="Calibri" w:hAnsi="Calibri" w:cs="Calibri"/>
          <w:lang w:val="en-GB"/>
        </w:rPr>
        <w:t>The following steps could be considered:</w:t>
      </w:r>
    </w:p>
    <w:p w14:paraId="791A0A70" w14:textId="53349011" w:rsidR="007837E4" w:rsidRDefault="007837E4" w:rsidP="007837E4">
      <w:pPr>
        <w:pStyle w:val="ListParagraph"/>
        <w:numPr>
          <w:ilvl w:val="0"/>
          <w:numId w:val="2"/>
        </w:numPr>
        <w:spacing w:after="0" w:line="240" w:lineRule="auto"/>
        <w:rPr>
          <w:rFonts w:ascii="Calibri" w:hAnsi="Calibri" w:cs="Calibri"/>
          <w:lang w:val="en-GB"/>
        </w:rPr>
      </w:pPr>
      <w:r>
        <w:rPr>
          <w:rFonts w:ascii="Calibri" w:hAnsi="Calibri" w:cs="Calibri"/>
          <w:lang w:val="en-GB"/>
        </w:rPr>
        <w:t>Your receptionist/secretary asks</w:t>
      </w:r>
      <w:r w:rsidR="008936AF">
        <w:rPr>
          <w:rFonts w:ascii="Calibri" w:hAnsi="Calibri" w:cs="Calibri"/>
          <w:lang w:val="en-GB"/>
        </w:rPr>
        <w:t xml:space="preserve"> a referred patient their vaccination status</w:t>
      </w:r>
      <w:r w:rsidR="00CC73EE">
        <w:rPr>
          <w:rFonts w:ascii="Calibri" w:hAnsi="Calibri" w:cs="Calibri"/>
          <w:lang w:val="en-GB"/>
        </w:rPr>
        <w:t xml:space="preserve"> if unknown</w:t>
      </w:r>
      <w:r w:rsidR="008936AF">
        <w:rPr>
          <w:rFonts w:ascii="Calibri" w:hAnsi="Calibri" w:cs="Calibri"/>
          <w:lang w:val="en-GB"/>
        </w:rPr>
        <w:t>.</w:t>
      </w:r>
    </w:p>
    <w:p w14:paraId="2D8B539D" w14:textId="4D49DBE3" w:rsidR="00902021" w:rsidRDefault="00902021" w:rsidP="007837E4">
      <w:pPr>
        <w:pStyle w:val="ListParagraph"/>
        <w:numPr>
          <w:ilvl w:val="0"/>
          <w:numId w:val="2"/>
        </w:numPr>
        <w:spacing w:after="0" w:line="240" w:lineRule="auto"/>
        <w:rPr>
          <w:rFonts w:ascii="Calibri" w:hAnsi="Calibri" w:cs="Calibri"/>
          <w:lang w:val="en-GB"/>
        </w:rPr>
      </w:pPr>
      <w:r>
        <w:rPr>
          <w:rFonts w:ascii="Calibri" w:hAnsi="Calibri" w:cs="Calibri"/>
          <w:lang w:val="en-GB"/>
        </w:rPr>
        <w:t>If it is negative, ask whether it is a personal or medial reason.</w:t>
      </w:r>
    </w:p>
    <w:p w14:paraId="25858163" w14:textId="424A1FF8" w:rsidR="00902021" w:rsidRDefault="00371126" w:rsidP="007837E4">
      <w:pPr>
        <w:pStyle w:val="ListParagraph"/>
        <w:numPr>
          <w:ilvl w:val="0"/>
          <w:numId w:val="2"/>
        </w:numPr>
        <w:spacing w:after="0" w:line="240" w:lineRule="auto"/>
        <w:rPr>
          <w:rFonts w:ascii="Calibri" w:hAnsi="Calibri" w:cs="Calibri"/>
          <w:lang w:val="en-GB"/>
        </w:rPr>
      </w:pPr>
      <w:r>
        <w:rPr>
          <w:rFonts w:ascii="Calibri" w:hAnsi="Calibri" w:cs="Calibri"/>
          <w:lang w:val="en-GB"/>
        </w:rPr>
        <w:t xml:space="preserve">Ask </w:t>
      </w:r>
      <w:r w:rsidR="00906A2E">
        <w:rPr>
          <w:rFonts w:ascii="Calibri" w:hAnsi="Calibri" w:cs="Calibri"/>
          <w:lang w:val="en-GB"/>
        </w:rPr>
        <w:t>the</w:t>
      </w:r>
      <w:r>
        <w:rPr>
          <w:rFonts w:ascii="Calibri" w:hAnsi="Calibri" w:cs="Calibri"/>
          <w:lang w:val="en-GB"/>
        </w:rPr>
        <w:t xml:space="preserve"> patient if they would like to speak to the surgeon about any concerns they have about vaccination</w:t>
      </w:r>
      <w:r w:rsidR="00793F8E">
        <w:rPr>
          <w:rFonts w:ascii="Calibri" w:hAnsi="Calibri" w:cs="Calibri"/>
          <w:lang w:val="en-GB"/>
        </w:rPr>
        <w:t>.</w:t>
      </w:r>
    </w:p>
    <w:p w14:paraId="7FF19BEC" w14:textId="04514FDF" w:rsidR="00793F8E" w:rsidRDefault="003E69F1" w:rsidP="007837E4">
      <w:pPr>
        <w:pStyle w:val="ListParagraph"/>
        <w:numPr>
          <w:ilvl w:val="0"/>
          <w:numId w:val="2"/>
        </w:numPr>
        <w:spacing w:after="0" w:line="240" w:lineRule="auto"/>
        <w:rPr>
          <w:rFonts w:ascii="Calibri" w:hAnsi="Calibri" w:cs="Calibri"/>
          <w:lang w:val="en-GB"/>
        </w:rPr>
      </w:pPr>
      <w:r>
        <w:rPr>
          <w:rFonts w:ascii="Calibri" w:hAnsi="Calibri" w:cs="Calibri"/>
          <w:lang w:val="en-GB"/>
        </w:rPr>
        <w:t>For n</w:t>
      </w:r>
      <w:r w:rsidR="00793F8E">
        <w:rPr>
          <w:rFonts w:ascii="Calibri" w:hAnsi="Calibri" w:cs="Calibri"/>
          <w:lang w:val="en-GB"/>
        </w:rPr>
        <w:t>on</w:t>
      </w:r>
      <w:r>
        <w:rPr>
          <w:rFonts w:ascii="Calibri" w:hAnsi="Calibri" w:cs="Calibri"/>
          <w:lang w:val="en-GB"/>
        </w:rPr>
        <w:t>-</w:t>
      </w:r>
      <w:r w:rsidR="00793F8E">
        <w:rPr>
          <w:rFonts w:ascii="Calibri" w:hAnsi="Calibri" w:cs="Calibri"/>
          <w:lang w:val="en-GB"/>
        </w:rPr>
        <w:t xml:space="preserve">vaccinated patients, the surgeon </w:t>
      </w:r>
      <w:r w:rsidR="00526534">
        <w:rPr>
          <w:rFonts w:ascii="Calibri" w:hAnsi="Calibri" w:cs="Calibri"/>
          <w:lang w:val="en-GB"/>
        </w:rPr>
        <w:t>may</w:t>
      </w:r>
      <w:r w:rsidR="00793F8E">
        <w:rPr>
          <w:rFonts w:ascii="Calibri" w:hAnsi="Calibri" w:cs="Calibri"/>
          <w:lang w:val="en-GB"/>
        </w:rPr>
        <w:t xml:space="preserve"> </w:t>
      </w:r>
      <w:r w:rsidR="003201F5">
        <w:rPr>
          <w:rFonts w:ascii="Calibri" w:hAnsi="Calibri" w:cs="Calibri"/>
          <w:lang w:val="en-GB"/>
        </w:rPr>
        <w:t>offer</w:t>
      </w:r>
      <w:r w:rsidR="00685A71">
        <w:rPr>
          <w:rFonts w:ascii="Calibri" w:hAnsi="Calibri" w:cs="Calibri"/>
          <w:lang w:val="en-GB"/>
        </w:rPr>
        <w:t xml:space="preserve"> </w:t>
      </w:r>
      <w:r w:rsidR="00793F8E">
        <w:rPr>
          <w:rFonts w:ascii="Calibri" w:hAnsi="Calibri" w:cs="Calibri"/>
          <w:lang w:val="en-GB"/>
        </w:rPr>
        <w:t>a Telehealth consultation</w:t>
      </w:r>
      <w:r>
        <w:rPr>
          <w:rFonts w:ascii="Calibri" w:hAnsi="Calibri" w:cs="Calibri"/>
          <w:lang w:val="en-GB"/>
        </w:rPr>
        <w:t xml:space="preserve">.  The rational for this is that in-person </w:t>
      </w:r>
      <w:r w:rsidR="00BC13F2">
        <w:rPr>
          <w:rFonts w:ascii="Calibri" w:hAnsi="Calibri" w:cs="Calibri"/>
          <w:lang w:val="en-GB"/>
        </w:rPr>
        <w:t xml:space="preserve">attendance puts other patients, </w:t>
      </w:r>
      <w:proofErr w:type="gramStart"/>
      <w:r w:rsidR="00BC13F2">
        <w:rPr>
          <w:rFonts w:ascii="Calibri" w:hAnsi="Calibri" w:cs="Calibri"/>
          <w:lang w:val="en-GB"/>
        </w:rPr>
        <w:t>staff</w:t>
      </w:r>
      <w:proofErr w:type="gramEnd"/>
      <w:r w:rsidR="00BC13F2">
        <w:rPr>
          <w:rFonts w:ascii="Calibri" w:hAnsi="Calibri" w:cs="Calibri"/>
          <w:lang w:val="en-GB"/>
        </w:rPr>
        <w:t xml:space="preserve"> and the surgeon at </w:t>
      </w:r>
      <w:r w:rsidR="00531DA8">
        <w:rPr>
          <w:rFonts w:ascii="Calibri" w:hAnsi="Calibri" w:cs="Calibri"/>
          <w:lang w:val="en-GB"/>
        </w:rPr>
        <w:t xml:space="preserve">increased </w:t>
      </w:r>
      <w:r w:rsidR="00BC13F2">
        <w:rPr>
          <w:rFonts w:ascii="Calibri" w:hAnsi="Calibri" w:cs="Calibri"/>
          <w:lang w:val="en-GB"/>
        </w:rPr>
        <w:t>risk</w:t>
      </w:r>
      <w:r w:rsidR="00531DA8">
        <w:rPr>
          <w:rFonts w:ascii="Calibri" w:hAnsi="Calibri" w:cs="Calibri"/>
          <w:lang w:val="en-GB"/>
        </w:rPr>
        <w:t xml:space="preserve"> because of the higher viral load </w:t>
      </w:r>
      <w:r w:rsidR="00685A71">
        <w:rPr>
          <w:rFonts w:ascii="Calibri" w:hAnsi="Calibri" w:cs="Calibri"/>
          <w:lang w:val="en-GB"/>
        </w:rPr>
        <w:t>that</w:t>
      </w:r>
      <w:r w:rsidR="0062367D">
        <w:rPr>
          <w:rFonts w:ascii="Calibri" w:hAnsi="Calibri" w:cs="Calibri"/>
          <w:lang w:val="en-GB"/>
        </w:rPr>
        <w:t xml:space="preserve"> </w:t>
      </w:r>
      <w:r w:rsidR="008F01B1">
        <w:rPr>
          <w:rFonts w:ascii="Calibri" w:hAnsi="Calibri" w:cs="Calibri"/>
          <w:lang w:val="en-GB"/>
        </w:rPr>
        <w:t>an</w:t>
      </w:r>
      <w:r w:rsidR="00531DA8">
        <w:rPr>
          <w:rFonts w:ascii="Calibri" w:hAnsi="Calibri" w:cs="Calibri"/>
          <w:lang w:val="en-GB"/>
        </w:rPr>
        <w:t xml:space="preserve"> unv</w:t>
      </w:r>
      <w:r w:rsidR="008F01B1">
        <w:rPr>
          <w:rFonts w:ascii="Calibri" w:hAnsi="Calibri" w:cs="Calibri"/>
          <w:lang w:val="en-GB"/>
        </w:rPr>
        <w:t xml:space="preserve">accinated person can </w:t>
      </w:r>
      <w:r w:rsidR="00E401A4">
        <w:rPr>
          <w:rFonts w:ascii="Calibri" w:hAnsi="Calibri" w:cs="Calibri"/>
          <w:lang w:val="en-GB"/>
        </w:rPr>
        <w:t>potentially carry.</w:t>
      </w:r>
    </w:p>
    <w:p w14:paraId="37A98263" w14:textId="77777777" w:rsidR="00942A63" w:rsidRDefault="00FB42C6" w:rsidP="007837E4">
      <w:pPr>
        <w:pStyle w:val="ListParagraph"/>
        <w:numPr>
          <w:ilvl w:val="0"/>
          <w:numId w:val="2"/>
        </w:numPr>
        <w:spacing w:after="0" w:line="240" w:lineRule="auto"/>
        <w:rPr>
          <w:rFonts w:ascii="Calibri" w:hAnsi="Calibri" w:cs="Calibri"/>
          <w:lang w:val="en-GB"/>
        </w:rPr>
      </w:pPr>
      <w:r>
        <w:rPr>
          <w:rFonts w:ascii="Calibri" w:hAnsi="Calibri" w:cs="Calibri"/>
          <w:lang w:val="en-GB"/>
        </w:rPr>
        <w:t xml:space="preserve">If there is a very important clinical reason to see an unvaccinated patient face-to-face, then you can require </w:t>
      </w:r>
      <w:r w:rsidR="001D48AC">
        <w:rPr>
          <w:rFonts w:ascii="Calibri" w:hAnsi="Calibri" w:cs="Calibri"/>
          <w:lang w:val="en-GB"/>
        </w:rPr>
        <w:t xml:space="preserve">a negative COVID test within 72 hours </w:t>
      </w:r>
      <w:r w:rsidR="00AD1BF4">
        <w:rPr>
          <w:rFonts w:ascii="Calibri" w:hAnsi="Calibri" w:cs="Calibri"/>
          <w:lang w:val="en-GB"/>
        </w:rPr>
        <w:t>prior to their appointment</w:t>
      </w:r>
      <w:r w:rsidR="00942A63">
        <w:rPr>
          <w:rFonts w:ascii="Calibri" w:hAnsi="Calibri" w:cs="Calibri"/>
          <w:lang w:val="en-GB"/>
        </w:rPr>
        <w:t>.</w:t>
      </w:r>
    </w:p>
    <w:p w14:paraId="20BF9A03" w14:textId="41E18DB3" w:rsidR="00E401A4" w:rsidRDefault="00942A63" w:rsidP="007837E4">
      <w:pPr>
        <w:pStyle w:val="ListParagraph"/>
        <w:numPr>
          <w:ilvl w:val="0"/>
          <w:numId w:val="2"/>
        </w:numPr>
        <w:spacing w:after="0" w:line="240" w:lineRule="auto"/>
        <w:rPr>
          <w:rFonts w:ascii="Calibri" w:hAnsi="Calibri" w:cs="Calibri"/>
          <w:lang w:val="en-GB"/>
        </w:rPr>
      </w:pPr>
      <w:r>
        <w:rPr>
          <w:rFonts w:ascii="Calibri" w:hAnsi="Calibri" w:cs="Calibri"/>
          <w:lang w:val="en-GB"/>
        </w:rPr>
        <w:t xml:space="preserve">Refer </w:t>
      </w:r>
      <w:r w:rsidR="00B05916">
        <w:rPr>
          <w:rFonts w:ascii="Calibri" w:hAnsi="Calibri" w:cs="Calibri"/>
          <w:lang w:val="en-GB"/>
        </w:rPr>
        <w:t>to another provider</w:t>
      </w:r>
      <w:r w:rsidR="00035A40">
        <w:rPr>
          <w:rFonts w:ascii="Calibri" w:hAnsi="Calibri" w:cs="Calibri"/>
          <w:lang w:val="en-GB"/>
        </w:rPr>
        <w:t xml:space="preserve"> or suggest they visit</w:t>
      </w:r>
      <w:r>
        <w:rPr>
          <w:rFonts w:ascii="Calibri" w:hAnsi="Calibri" w:cs="Calibri"/>
          <w:lang w:val="en-GB"/>
        </w:rPr>
        <w:t xml:space="preserve"> </w:t>
      </w:r>
      <w:r w:rsidR="00035A40">
        <w:rPr>
          <w:rFonts w:ascii="Calibri" w:hAnsi="Calibri" w:cs="Calibri"/>
          <w:lang w:val="en-GB"/>
        </w:rPr>
        <w:t>“</w:t>
      </w:r>
      <w:r>
        <w:rPr>
          <w:rFonts w:ascii="Calibri" w:hAnsi="Calibri" w:cs="Calibri"/>
          <w:lang w:val="en-GB"/>
        </w:rPr>
        <w:t>Find a Surgeon</w:t>
      </w:r>
      <w:r w:rsidR="00035A40">
        <w:rPr>
          <w:rFonts w:ascii="Calibri" w:hAnsi="Calibri" w:cs="Calibri"/>
          <w:lang w:val="en-GB"/>
        </w:rPr>
        <w:t>”</w:t>
      </w:r>
      <w:r>
        <w:rPr>
          <w:rFonts w:ascii="Calibri" w:hAnsi="Calibri" w:cs="Calibri"/>
          <w:lang w:val="en-GB"/>
        </w:rPr>
        <w:t xml:space="preserve"> on the NZOA</w:t>
      </w:r>
      <w:r w:rsidR="00CF5A07">
        <w:rPr>
          <w:rFonts w:ascii="Calibri" w:hAnsi="Calibri" w:cs="Calibri"/>
          <w:lang w:val="en-GB"/>
        </w:rPr>
        <w:t xml:space="preserve"> website </w:t>
      </w:r>
      <w:hyperlink r:id="rId8" w:history="1">
        <w:r w:rsidR="00CF5A07" w:rsidRPr="00CF5A07">
          <w:rPr>
            <w:rStyle w:val="Hyperlink"/>
            <w:rFonts w:ascii="Calibri" w:hAnsi="Calibri" w:cs="Calibri"/>
            <w:lang w:val="en-GB"/>
          </w:rPr>
          <w:t>Find a Surgeon</w:t>
        </w:r>
      </w:hyperlink>
      <w:r w:rsidR="00035A40">
        <w:rPr>
          <w:rFonts w:ascii="Calibri" w:hAnsi="Calibri" w:cs="Calibri"/>
          <w:lang w:val="en-GB"/>
        </w:rPr>
        <w:t>.</w:t>
      </w:r>
    </w:p>
    <w:p w14:paraId="74A99327" w14:textId="77777777" w:rsidR="00164265" w:rsidRPr="00164265" w:rsidRDefault="00164265" w:rsidP="00164265">
      <w:pPr>
        <w:spacing w:after="0" w:line="240" w:lineRule="auto"/>
        <w:rPr>
          <w:rFonts w:ascii="Calibri" w:hAnsi="Calibri" w:cs="Calibri"/>
          <w:lang w:val="en-GB"/>
        </w:rPr>
      </w:pPr>
    </w:p>
    <w:p w14:paraId="4972512B" w14:textId="309548AE" w:rsidR="00B05916" w:rsidRDefault="00D82418" w:rsidP="00164265">
      <w:pPr>
        <w:pStyle w:val="ListParagraph"/>
        <w:numPr>
          <w:ilvl w:val="0"/>
          <w:numId w:val="1"/>
        </w:numPr>
        <w:spacing w:after="0" w:line="240" w:lineRule="auto"/>
        <w:ind w:left="426" w:hanging="426"/>
        <w:rPr>
          <w:rFonts w:ascii="Calibri" w:hAnsi="Calibri" w:cs="Calibri"/>
          <w:lang w:val="en-GB"/>
        </w:rPr>
      </w:pPr>
      <w:r>
        <w:rPr>
          <w:rFonts w:ascii="Calibri" w:hAnsi="Calibri" w:cs="Calibri"/>
          <w:b/>
          <w:bCs/>
          <w:lang w:val="en-GB"/>
        </w:rPr>
        <w:t>Concluding Remarks</w:t>
      </w:r>
    </w:p>
    <w:p w14:paraId="5B323004" w14:textId="4ECA92EB" w:rsidR="00132384" w:rsidRDefault="00132384" w:rsidP="00B05916">
      <w:pPr>
        <w:pStyle w:val="ListParagraph"/>
        <w:spacing w:after="0" w:line="240" w:lineRule="auto"/>
        <w:ind w:left="426"/>
        <w:rPr>
          <w:rFonts w:ascii="Calibri" w:hAnsi="Calibri" w:cs="Calibri"/>
          <w:lang w:val="en-GB"/>
        </w:rPr>
      </w:pPr>
      <w:r w:rsidRPr="00CD3318">
        <w:rPr>
          <w:rFonts w:ascii="Calibri" w:hAnsi="Calibri" w:cs="Calibri"/>
          <w:highlight w:val="yellow"/>
          <w:lang w:val="en-GB"/>
        </w:rPr>
        <w:t xml:space="preserve">With the introduction of mandated vaccinations for front-line health workers and education workers, we consider this provides good support for </w:t>
      </w:r>
      <w:r w:rsidR="0078038F" w:rsidRPr="00CD3318">
        <w:rPr>
          <w:rFonts w:ascii="Calibri" w:hAnsi="Calibri" w:cs="Calibri"/>
          <w:highlight w:val="yellow"/>
          <w:lang w:val="en-GB"/>
        </w:rPr>
        <w:t>the</w:t>
      </w:r>
      <w:r w:rsidRPr="00CD3318">
        <w:rPr>
          <w:rFonts w:ascii="Calibri" w:hAnsi="Calibri" w:cs="Calibri"/>
          <w:highlight w:val="yellow"/>
          <w:lang w:val="en-GB"/>
        </w:rPr>
        <w:t xml:space="preserve"> argument that </w:t>
      </w:r>
      <w:r w:rsidR="00D82418" w:rsidRPr="00CD3318">
        <w:rPr>
          <w:rFonts w:ascii="Calibri" w:hAnsi="Calibri" w:cs="Calibri"/>
          <w:highlight w:val="yellow"/>
          <w:lang w:val="en-GB"/>
        </w:rPr>
        <w:t>un</w:t>
      </w:r>
      <w:r w:rsidRPr="00CD3318">
        <w:rPr>
          <w:rFonts w:ascii="Calibri" w:hAnsi="Calibri" w:cs="Calibri"/>
          <w:highlight w:val="yellow"/>
          <w:lang w:val="en-GB"/>
        </w:rPr>
        <w:t xml:space="preserve">vaccinated patients create an unnecessary risk to </w:t>
      </w:r>
      <w:r w:rsidR="0078038F" w:rsidRPr="00CD3318">
        <w:rPr>
          <w:rFonts w:ascii="Calibri" w:hAnsi="Calibri" w:cs="Calibri"/>
          <w:highlight w:val="yellow"/>
          <w:lang w:val="en-GB"/>
        </w:rPr>
        <w:t>y</w:t>
      </w:r>
      <w:r w:rsidRPr="00CD3318">
        <w:rPr>
          <w:rFonts w:ascii="Calibri" w:hAnsi="Calibri" w:cs="Calibri"/>
          <w:highlight w:val="yellow"/>
          <w:lang w:val="en-GB"/>
        </w:rPr>
        <w:t xml:space="preserve">our Orthopaedic practice.  It is to be remembered that </w:t>
      </w:r>
      <w:r w:rsidR="008638C1" w:rsidRPr="00CD3318">
        <w:rPr>
          <w:rFonts w:ascii="Calibri" w:hAnsi="Calibri" w:cs="Calibri"/>
          <w:highlight w:val="yellow"/>
          <w:lang w:val="en-GB"/>
        </w:rPr>
        <w:t xml:space="preserve">people make </w:t>
      </w:r>
      <w:r w:rsidRPr="00CD3318">
        <w:rPr>
          <w:rFonts w:ascii="Calibri" w:hAnsi="Calibri" w:cs="Calibri"/>
          <w:highlight w:val="yellow"/>
          <w:lang w:val="en-GB"/>
        </w:rPr>
        <w:t>a choice not to be vaccinated</w:t>
      </w:r>
      <w:r>
        <w:rPr>
          <w:rFonts w:ascii="Calibri" w:hAnsi="Calibri" w:cs="Calibri"/>
          <w:lang w:val="en-GB"/>
        </w:rPr>
        <w:t>.</w:t>
      </w:r>
    </w:p>
    <w:p w14:paraId="2F68DF19" w14:textId="77777777" w:rsidR="00132384" w:rsidRDefault="00132384" w:rsidP="00132384">
      <w:pPr>
        <w:spacing w:after="0" w:line="240" w:lineRule="auto"/>
        <w:ind w:left="426"/>
        <w:rPr>
          <w:rFonts w:ascii="Calibri" w:hAnsi="Calibri" w:cs="Calibri"/>
          <w:sz w:val="24"/>
          <w:szCs w:val="24"/>
          <w:lang w:val="en-GB"/>
        </w:rPr>
      </w:pPr>
    </w:p>
    <w:p w14:paraId="65438D29" w14:textId="1039142B" w:rsidR="00132384" w:rsidRDefault="00132384" w:rsidP="00132384">
      <w:pPr>
        <w:spacing w:after="0" w:line="240" w:lineRule="auto"/>
        <w:ind w:left="426"/>
        <w:rPr>
          <w:rFonts w:ascii="Calibri" w:hAnsi="Calibri" w:cs="Calibri"/>
          <w:sz w:val="24"/>
          <w:szCs w:val="24"/>
          <w:lang w:val="en-GB"/>
        </w:rPr>
      </w:pPr>
      <w:r>
        <w:rPr>
          <w:rFonts w:ascii="Calibri" w:hAnsi="Calibri" w:cs="Calibri"/>
          <w:sz w:val="24"/>
          <w:szCs w:val="24"/>
          <w:lang w:val="en-GB"/>
        </w:rPr>
        <w:t>We are aware that other organisations are also considering this very question, and our guidance may well evolve as other opinions are known.</w:t>
      </w:r>
    </w:p>
    <w:p w14:paraId="6B8B37E2" w14:textId="77777777" w:rsidR="00132384" w:rsidRDefault="00132384" w:rsidP="00132384">
      <w:pPr>
        <w:spacing w:after="0" w:line="240" w:lineRule="auto"/>
        <w:ind w:left="426"/>
        <w:rPr>
          <w:rFonts w:ascii="Calibri" w:hAnsi="Calibri" w:cs="Calibri"/>
          <w:sz w:val="24"/>
          <w:szCs w:val="24"/>
          <w:lang w:val="en-GB"/>
        </w:rPr>
      </w:pPr>
    </w:p>
    <w:p w14:paraId="1A51AEBF" w14:textId="256334C3" w:rsidR="00E47A6D" w:rsidRDefault="00132384" w:rsidP="00132384">
      <w:pPr>
        <w:spacing w:after="0" w:line="240" w:lineRule="auto"/>
        <w:ind w:left="426"/>
        <w:rPr>
          <w:rFonts w:ascii="Calibri" w:hAnsi="Calibri" w:cs="Calibri"/>
          <w:sz w:val="24"/>
          <w:szCs w:val="24"/>
          <w:lang w:val="en-GB"/>
        </w:rPr>
      </w:pPr>
      <w:r>
        <w:rPr>
          <w:rFonts w:ascii="Calibri" w:hAnsi="Calibri" w:cs="Calibri"/>
          <w:sz w:val="24"/>
          <w:szCs w:val="24"/>
          <w:lang w:val="en-GB"/>
        </w:rPr>
        <w:t xml:space="preserve">In </w:t>
      </w:r>
      <w:r w:rsidR="006C6072">
        <w:rPr>
          <w:rFonts w:ascii="Calibri" w:hAnsi="Calibri" w:cs="Calibri"/>
          <w:sz w:val="24"/>
          <w:szCs w:val="24"/>
          <w:lang w:val="en-GB"/>
        </w:rPr>
        <w:t>our opinion</w:t>
      </w:r>
      <w:r w:rsidR="002F43AA">
        <w:rPr>
          <w:rFonts w:ascii="Calibri" w:hAnsi="Calibri" w:cs="Calibri"/>
          <w:sz w:val="24"/>
          <w:szCs w:val="24"/>
          <w:lang w:val="en-GB"/>
        </w:rPr>
        <w:t xml:space="preserve"> Orthopaedic surgeons in private should not be compelled </w:t>
      </w:r>
      <w:r>
        <w:rPr>
          <w:rFonts w:ascii="Calibri" w:hAnsi="Calibri" w:cs="Calibri"/>
          <w:sz w:val="24"/>
          <w:szCs w:val="24"/>
          <w:lang w:val="en-GB"/>
        </w:rPr>
        <w:t xml:space="preserve">to see an unvaccinated patient.  Health practitioners </w:t>
      </w:r>
      <w:r w:rsidR="00C12FAE">
        <w:rPr>
          <w:rFonts w:ascii="Calibri" w:hAnsi="Calibri" w:cs="Calibri"/>
          <w:sz w:val="24"/>
          <w:szCs w:val="24"/>
          <w:lang w:val="en-GB"/>
        </w:rPr>
        <w:t>can</w:t>
      </w:r>
      <w:r>
        <w:rPr>
          <w:rFonts w:ascii="Calibri" w:hAnsi="Calibri" w:cs="Calibri"/>
          <w:sz w:val="24"/>
          <w:szCs w:val="24"/>
          <w:lang w:val="en-GB"/>
        </w:rPr>
        <w:t xml:space="preserve"> decline to accept referrals</w:t>
      </w:r>
      <w:r w:rsidR="00E47A6D">
        <w:rPr>
          <w:rFonts w:ascii="Calibri" w:hAnsi="Calibri" w:cs="Calibri"/>
          <w:sz w:val="24"/>
          <w:szCs w:val="24"/>
          <w:lang w:val="en-GB"/>
        </w:rPr>
        <w:t xml:space="preserve">. </w:t>
      </w:r>
    </w:p>
    <w:p w14:paraId="64F737D3" w14:textId="77777777" w:rsidR="00E47A6D" w:rsidRDefault="00E47A6D" w:rsidP="00132384">
      <w:pPr>
        <w:spacing w:after="0" w:line="240" w:lineRule="auto"/>
        <w:ind w:left="426"/>
        <w:rPr>
          <w:rFonts w:ascii="Calibri" w:hAnsi="Calibri" w:cs="Calibri"/>
          <w:sz w:val="24"/>
          <w:szCs w:val="24"/>
          <w:lang w:val="en-GB"/>
        </w:rPr>
      </w:pPr>
    </w:p>
    <w:p w14:paraId="56EBB8B6" w14:textId="43C7C6EF" w:rsidR="00132384" w:rsidRDefault="00E47A6D" w:rsidP="00132384">
      <w:pPr>
        <w:spacing w:after="0" w:line="240" w:lineRule="auto"/>
        <w:ind w:left="426"/>
        <w:rPr>
          <w:rFonts w:ascii="Calibri" w:hAnsi="Calibri" w:cs="Calibri"/>
          <w:sz w:val="24"/>
          <w:szCs w:val="24"/>
          <w:lang w:val="en-GB"/>
        </w:rPr>
      </w:pPr>
      <w:r>
        <w:rPr>
          <w:rFonts w:ascii="Calibri" w:hAnsi="Calibri" w:cs="Calibri"/>
          <w:sz w:val="24"/>
          <w:szCs w:val="24"/>
          <w:lang w:val="en-GB"/>
        </w:rPr>
        <w:t xml:space="preserve">We </w:t>
      </w:r>
      <w:r w:rsidR="00132384">
        <w:rPr>
          <w:rFonts w:ascii="Calibri" w:hAnsi="Calibri" w:cs="Calibri"/>
          <w:sz w:val="24"/>
          <w:szCs w:val="24"/>
          <w:lang w:val="en-GB"/>
        </w:rPr>
        <w:t xml:space="preserve">urge you to exercise caution as to how you approach this </w:t>
      </w:r>
      <w:r w:rsidR="002D13CB">
        <w:rPr>
          <w:rFonts w:ascii="Calibri" w:hAnsi="Calibri" w:cs="Calibri"/>
          <w:sz w:val="24"/>
          <w:szCs w:val="24"/>
          <w:lang w:val="en-GB"/>
        </w:rPr>
        <w:t>sensitive</w:t>
      </w:r>
      <w:r w:rsidR="00132384">
        <w:rPr>
          <w:rFonts w:ascii="Calibri" w:hAnsi="Calibri" w:cs="Calibri"/>
          <w:sz w:val="24"/>
          <w:szCs w:val="24"/>
          <w:lang w:val="en-GB"/>
        </w:rPr>
        <w:t xml:space="preserve"> </w:t>
      </w:r>
      <w:r w:rsidR="00D82418">
        <w:rPr>
          <w:rFonts w:ascii="Calibri" w:hAnsi="Calibri" w:cs="Calibri"/>
          <w:sz w:val="24"/>
          <w:szCs w:val="24"/>
          <w:lang w:val="en-GB"/>
        </w:rPr>
        <w:t xml:space="preserve">and complex </w:t>
      </w:r>
      <w:r w:rsidR="00132384">
        <w:rPr>
          <w:rFonts w:ascii="Calibri" w:hAnsi="Calibri" w:cs="Calibri"/>
          <w:sz w:val="24"/>
          <w:szCs w:val="24"/>
          <w:lang w:val="en-GB"/>
        </w:rPr>
        <w:t>situation.</w:t>
      </w:r>
    </w:p>
    <w:p w14:paraId="2E8C5AE6" w14:textId="5987E9D8" w:rsidR="001C69C5" w:rsidRDefault="001C69C5" w:rsidP="00766660">
      <w:pPr>
        <w:spacing w:after="0" w:line="240" w:lineRule="auto"/>
        <w:ind w:left="426"/>
        <w:rPr>
          <w:rFonts w:ascii="Calibri" w:hAnsi="Calibri" w:cs="Calibri"/>
          <w:sz w:val="24"/>
          <w:szCs w:val="24"/>
          <w:lang w:val="en-GB"/>
        </w:rPr>
      </w:pPr>
    </w:p>
    <w:p w14:paraId="0DDAD06E" w14:textId="77777777" w:rsidR="001A20FA" w:rsidRDefault="001A20FA" w:rsidP="005F525F">
      <w:pPr>
        <w:spacing w:after="0" w:line="240" w:lineRule="auto"/>
        <w:rPr>
          <w:rFonts w:ascii="Calibri" w:hAnsi="Calibri" w:cs="Calibri"/>
          <w:sz w:val="24"/>
          <w:szCs w:val="24"/>
          <w:lang w:val="en-GB"/>
        </w:rPr>
      </w:pPr>
    </w:p>
    <w:p w14:paraId="579AC909" w14:textId="77777777" w:rsidR="0037541A" w:rsidRDefault="00771139" w:rsidP="00767833">
      <w:pPr>
        <w:spacing w:after="0" w:line="240" w:lineRule="auto"/>
        <w:rPr>
          <w:rFonts w:ascii="Calibri" w:hAnsi="Calibri" w:cs="Calibri"/>
          <w:sz w:val="24"/>
          <w:szCs w:val="24"/>
          <w:lang w:val="en-GB"/>
        </w:rPr>
      </w:pPr>
      <w:r>
        <w:rPr>
          <w:rFonts w:ascii="Calibri" w:hAnsi="Calibri" w:cs="Calibri"/>
          <w:sz w:val="24"/>
          <w:szCs w:val="24"/>
          <w:lang w:val="en-GB"/>
        </w:rPr>
        <w:t xml:space="preserve">Peter </w:t>
      </w:r>
      <w:proofErr w:type="spellStart"/>
      <w:r>
        <w:rPr>
          <w:rFonts w:ascii="Calibri" w:hAnsi="Calibri" w:cs="Calibri"/>
          <w:sz w:val="24"/>
          <w:szCs w:val="24"/>
          <w:lang w:val="en-GB"/>
        </w:rPr>
        <w:t>Devane</w:t>
      </w:r>
      <w:proofErr w:type="spellEnd"/>
      <w:r>
        <w:rPr>
          <w:rFonts w:ascii="Calibri" w:hAnsi="Calibri" w:cs="Calibri"/>
          <w:sz w:val="24"/>
          <w:szCs w:val="24"/>
          <w:lang w:val="en-GB"/>
        </w:rPr>
        <w:t>,</w:t>
      </w:r>
      <w:r w:rsidR="0037541A">
        <w:rPr>
          <w:rFonts w:ascii="Calibri" w:hAnsi="Calibri" w:cs="Calibri"/>
          <w:sz w:val="24"/>
          <w:szCs w:val="24"/>
          <w:lang w:val="en-GB"/>
        </w:rPr>
        <w:t xml:space="preserve"> President</w:t>
      </w:r>
    </w:p>
    <w:p w14:paraId="24556032" w14:textId="35302FB5" w:rsidR="0037541A" w:rsidRDefault="00771139" w:rsidP="00767833">
      <w:pPr>
        <w:spacing w:after="0" w:line="240" w:lineRule="auto"/>
        <w:rPr>
          <w:rFonts w:ascii="Calibri" w:hAnsi="Calibri" w:cs="Calibri"/>
          <w:sz w:val="24"/>
          <w:szCs w:val="24"/>
          <w:lang w:val="en-GB"/>
        </w:rPr>
      </w:pPr>
      <w:r>
        <w:rPr>
          <w:rFonts w:ascii="Calibri" w:hAnsi="Calibri" w:cs="Calibri"/>
          <w:sz w:val="24"/>
          <w:szCs w:val="24"/>
          <w:lang w:val="en-GB"/>
        </w:rPr>
        <w:t>John McKie</w:t>
      </w:r>
      <w:r w:rsidR="0037541A">
        <w:rPr>
          <w:rFonts w:ascii="Calibri" w:hAnsi="Calibri" w:cs="Calibri"/>
          <w:sz w:val="24"/>
          <w:szCs w:val="24"/>
          <w:lang w:val="en-GB"/>
        </w:rPr>
        <w:t>, First President Elect</w:t>
      </w:r>
    </w:p>
    <w:p w14:paraId="02656BE9" w14:textId="14BD821A" w:rsidR="00771139" w:rsidRDefault="00771139" w:rsidP="00767833">
      <w:pPr>
        <w:spacing w:after="0" w:line="240" w:lineRule="auto"/>
        <w:rPr>
          <w:rFonts w:ascii="Calibri" w:hAnsi="Calibri" w:cs="Calibri"/>
          <w:sz w:val="24"/>
          <w:szCs w:val="24"/>
          <w:lang w:val="en-GB"/>
        </w:rPr>
      </w:pPr>
      <w:proofErr w:type="spellStart"/>
      <w:r>
        <w:rPr>
          <w:rFonts w:ascii="Calibri" w:hAnsi="Calibri" w:cs="Calibri"/>
          <w:sz w:val="24"/>
          <w:szCs w:val="24"/>
          <w:lang w:val="en-GB"/>
        </w:rPr>
        <w:t>Haemish</w:t>
      </w:r>
      <w:proofErr w:type="spellEnd"/>
      <w:r>
        <w:rPr>
          <w:rFonts w:ascii="Calibri" w:hAnsi="Calibri" w:cs="Calibri"/>
          <w:sz w:val="24"/>
          <w:szCs w:val="24"/>
          <w:lang w:val="en-GB"/>
        </w:rPr>
        <w:t xml:space="preserve"> Crawford</w:t>
      </w:r>
      <w:r w:rsidR="0037541A">
        <w:rPr>
          <w:rFonts w:ascii="Calibri" w:hAnsi="Calibri" w:cs="Calibri"/>
          <w:sz w:val="24"/>
          <w:szCs w:val="24"/>
          <w:lang w:val="en-GB"/>
        </w:rPr>
        <w:t>, Se</w:t>
      </w:r>
      <w:r w:rsidR="006D20F8">
        <w:rPr>
          <w:rFonts w:ascii="Calibri" w:hAnsi="Calibri" w:cs="Calibri"/>
          <w:sz w:val="24"/>
          <w:szCs w:val="24"/>
          <w:lang w:val="en-GB"/>
        </w:rPr>
        <w:t>cond President Elect</w:t>
      </w:r>
    </w:p>
    <w:p w14:paraId="4534E9ED" w14:textId="40E31C3A" w:rsidR="006D20F8" w:rsidRDefault="006D20F8" w:rsidP="00767833">
      <w:pPr>
        <w:spacing w:after="0" w:line="240" w:lineRule="auto"/>
        <w:rPr>
          <w:rFonts w:ascii="Calibri" w:hAnsi="Calibri" w:cs="Calibri"/>
          <w:sz w:val="24"/>
          <w:szCs w:val="24"/>
          <w:lang w:val="en-GB"/>
        </w:rPr>
      </w:pPr>
      <w:r>
        <w:rPr>
          <w:rFonts w:ascii="Calibri" w:hAnsi="Calibri" w:cs="Calibri"/>
          <w:sz w:val="24"/>
          <w:szCs w:val="24"/>
          <w:lang w:val="en-GB"/>
        </w:rPr>
        <w:t>Peter Robertson, Immediate Past President</w:t>
      </w:r>
    </w:p>
    <w:p w14:paraId="71BEF7F1" w14:textId="79356C60" w:rsidR="00F151A6" w:rsidRPr="00F151A6" w:rsidRDefault="006D20F8" w:rsidP="00BE279A">
      <w:pPr>
        <w:spacing w:after="0" w:line="240" w:lineRule="auto"/>
      </w:pPr>
      <w:r>
        <w:rPr>
          <w:rFonts w:ascii="Calibri" w:hAnsi="Calibri" w:cs="Calibri"/>
          <w:sz w:val="24"/>
          <w:szCs w:val="24"/>
          <w:lang w:val="en-GB"/>
        </w:rPr>
        <w:t xml:space="preserve">Andrea </w:t>
      </w:r>
      <w:proofErr w:type="spellStart"/>
      <w:r>
        <w:rPr>
          <w:rFonts w:ascii="Calibri" w:hAnsi="Calibri" w:cs="Calibri"/>
          <w:sz w:val="24"/>
          <w:szCs w:val="24"/>
          <w:lang w:val="en-GB"/>
        </w:rPr>
        <w:t>Pettett</w:t>
      </w:r>
      <w:proofErr w:type="spellEnd"/>
      <w:r>
        <w:rPr>
          <w:rFonts w:ascii="Calibri" w:hAnsi="Calibri" w:cs="Calibri"/>
          <w:sz w:val="24"/>
          <w:szCs w:val="24"/>
          <w:lang w:val="en-GB"/>
        </w:rPr>
        <w:t>, Chief Executive</w:t>
      </w:r>
    </w:p>
    <w:sectPr w:rsidR="00F151A6" w:rsidRPr="00F151A6" w:rsidSect="002663A4">
      <w:headerReference w:type="even" r:id="rId9"/>
      <w:headerReference w:type="default" r:id="rId10"/>
      <w:footerReference w:type="even" r:id="rId11"/>
      <w:footerReference w:type="default" r:id="rId12"/>
      <w:headerReference w:type="first" r:id="rId13"/>
      <w:footerReference w:type="first" r:id="rId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31C1F" w14:textId="77777777" w:rsidR="00A51982" w:rsidRDefault="00A51982" w:rsidP="00767833">
      <w:pPr>
        <w:spacing w:after="0" w:line="240" w:lineRule="auto"/>
      </w:pPr>
      <w:r>
        <w:separator/>
      </w:r>
    </w:p>
  </w:endnote>
  <w:endnote w:type="continuationSeparator" w:id="0">
    <w:p w14:paraId="3C83A35E" w14:textId="77777777" w:rsidR="00A51982" w:rsidRDefault="00A51982" w:rsidP="00767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9EBE" w14:textId="77777777" w:rsidR="00767833" w:rsidRDefault="00767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CD55" w14:textId="77777777" w:rsidR="00767833" w:rsidRDefault="007678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01C1" w14:textId="77777777" w:rsidR="00767833" w:rsidRDefault="00767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FA101" w14:textId="77777777" w:rsidR="00A51982" w:rsidRDefault="00A51982" w:rsidP="00767833">
      <w:pPr>
        <w:spacing w:after="0" w:line="240" w:lineRule="auto"/>
      </w:pPr>
      <w:r>
        <w:separator/>
      </w:r>
    </w:p>
  </w:footnote>
  <w:footnote w:type="continuationSeparator" w:id="0">
    <w:p w14:paraId="5D9F8F55" w14:textId="77777777" w:rsidR="00A51982" w:rsidRDefault="00A51982" w:rsidP="00767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A33A1" w14:textId="77777777" w:rsidR="00767833" w:rsidRDefault="00767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4141" w14:textId="77879AC2" w:rsidR="00767833" w:rsidRDefault="00767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2DD3" w14:textId="77777777" w:rsidR="00767833" w:rsidRDefault="00767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A0225"/>
    <w:multiLevelType w:val="multilevel"/>
    <w:tmpl w:val="544C62CC"/>
    <w:lvl w:ilvl="0">
      <w:start w:val="1"/>
      <w:numFmt w:val="decimal"/>
      <w:lvlText w:val="%1."/>
      <w:lvlJc w:val="left"/>
      <w:pPr>
        <w:ind w:left="720" w:hanging="360"/>
      </w:pPr>
      <w:rPr>
        <w:rFonts w:hint="default"/>
        <w:b/>
        <w:bCs/>
      </w:rPr>
    </w:lvl>
    <w:lvl w:ilvl="1">
      <w:start w:val="1"/>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770E22F7"/>
    <w:multiLevelType w:val="hybridMultilevel"/>
    <w:tmpl w:val="3D0A2480"/>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04C"/>
    <w:rsid w:val="00000B5D"/>
    <w:rsid w:val="00002A3B"/>
    <w:rsid w:val="00010259"/>
    <w:rsid w:val="000163E1"/>
    <w:rsid w:val="00035A40"/>
    <w:rsid w:val="00067FB3"/>
    <w:rsid w:val="00081FDD"/>
    <w:rsid w:val="000A0D17"/>
    <w:rsid w:val="000D4575"/>
    <w:rsid w:val="000F08C7"/>
    <w:rsid w:val="000F6878"/>
    <w:rsid w:val="000F7123"/>
    <w:rsid w:val="00116D23"/>
    <w:rsid w:val="00126CE4"/>
    <w:rsid w:val="00132153"/>
    <w:rsid w:val="00132384"/>
    <w:rsid w:val="00164265"/>
    <w:rsid w:val="00166500"/>
    <w:rsid w:val="001707C0"/>
    <w:rsid w:val="001725D6"/>
    <w:rsid w:val="001778BA"/>
    <w:rsid w:val="0018151E"/>
    <w:rsid w:val="001A20FA"/>
    <w:rsid w:val="001C69C5"/>
    <w:rsid w:val="001D1D05"/>
    <w:rsid w:val="001D48AC"/>
    <w:rsid w:val="001E104C"/>
    <w:rsid w:val="00213F2C"/>
    <w:rsid w:val="002221FE"/>
    <w:rsid w:val="00245DC5"/>
    <w:rsid w:val="00247632"/>
    <w:rsid w:val="002663A4"/>
    <w:rsid w:val="00271003"/>
    <w:rsid w:val="00272CD9"/>
    <w:rsid w:val="002918AE"/>
    <w:rsid w:val="002C3638"/>
    <w:rsid w:val="002D13CB"/>
    <w:rsid w:val="002D238A"/>
    <w:rsid w:val="002F43AA"/>
    <w:rsid w:val="003201F5"/>
    <w:rsid w:val="00335973"/>
    <w:rsid w:val="0035564D"/>
    <w:rsid w:val="00366C79"/>
    <w:rsid w:val="00370981"/>
    <w:rsid w:val="00371126"/>
    <w:rsid w:val="0037456C"/>
    <w:rsid w:val="0037541A"/>
    <w:rsid w:val="00391AC0"/>
    <w:rsid w:val="003A5080"/>
    <w:rsid w:val="003B12C1"/>
    <w:rsid w:val="003D1BE4"/>
    <w:rsid w:val="003D52F1"/>
    <w:rsid w:val="003E2950"/>
    <w:rsid w:val="003E69F1"/>
    <w:rsid w:val="00403267"/>
    <w:rsid w:val="0041196F"/>
    <w:rsid w:val="00414BAB"/>
    <w:rsid w:val="0042422C"/>
    <w:rsid w:val="00425493"/>
    <w:rsid w:val="004278D0"/>
    <w:rsid w:val="00440DAB"/>
    <w:rsid w:val="00443C0D"/>
    <w:rsid w:val="004457B2"/>
    <w:rsid w:val="004513CF"/>
    <w:rsid w:val="00456220"/>
    <w:rsid w:val="00457CE9"/>
    <w:rsid w:val="00473B58"/>
    <w:rsid w:val="00490C99"/>
    <w:rsid w:val="004B05F7"/>
    <w:rsid w:val="004B64F0"/>
    <w:rsid w:val="004C2630"/>
    <w:rsid w:val="004D5BF4"/>
    <w:rsid w:val="004D6C3F"/>
    <w:rsid w:val="004F07FD"/>
    <w:rsid w:val="0050338F"/>
    <w:rsid w:val="00526288"/>
    <w:rsid w:val="00526534"/>
    <w:rsid w:val="00531DA8"/>
    <w:rsid w:val="005322DB"/>
    <w:rsid w:val="00534BE3"/>
    <w:rsid w:val="0053797C"/>
    <w:rsid w:val="005543CD"/>
    <w:rsid w:val="00561F9C"/>
    <w:rsid w:val="00584E56"/>
    <w:rsid w:val="005942C2"/>
    <w:rsid w:val="005964D9"/>
    <w:rsid w:val="005F525F"/>
    <w:rsid w:val="00620903"/>
    <w:rsid w:val="0062367D"/>
    <w:rsid w:val="00636FC7"/>
    <w:rsid w:val="00641000"/>
    <w:rsid w:val="00643100"/>
    <w:rsid w:val="00652E79"/>
    <w:rsid w:val="006746CE"/>
    <w:rsid w:val="00685A71"/>
    <w:rsid w:val="00690CB7"/>
    <w:rsid w:val="00693B13"/>
    <w:rsid w:val="006B218C"/>
    <w:rsid w:val="006C6072"/>
    <w:rsid w:val="006D20F8"/>
    <w:rsid w:val="006D47F7"/>
    <w:rsid w:val="006E1832"/>
    <w:rsid w:val="006F0EFD"/>
    <w:rsid w:val="00717747"/>
    <w:rsid w:val="00735C96"/>
    <w:rsid w:val="0074259B"/>
    <w:rsid w:val="00766660"/>
    <w:rsid w:val="00767833"/>
    <w:rsid w:val="00771139"/>
    <w:rsid w:val="0078038F"/>
    <w:rsid w:val="007837E4"/>
    <w:rsid w:val="00793F8E"/>
    <w:rsid w:val="007A2647"/>
    <w:rsid w:val="007B5D2C"/>
    <w:rsid w:val="007B716F"/>
    <w:rsid w:val="007C7C56"/>
    <w:rsid w:val="007D6842"/>
    <w:rsid w:val="007D7445"/>
    <w:rsid w:val="00802162"/>
    <w:rsid w:val="00812BEC"/>
    <w:rsid w:val="00813DB8"/>
    <w:rsid w:val="008275F8"/>
    <w:rsid w:val="00830B5E"/>
    <w:rsid w:val="008638C1"/>
    <w:rsid w:val="00876A6A"/>
    <w:rsid w:val="00881670"/>
    <w:rsid w:val="008936AF"/>
    <w:rsid w:val="008A12E2"/>
    <w:rsid w:val="008A38D8"/>
    <w:rsid w:val="008C00E3"/>
    <w:rsid w:val="008C20E2"/>
    <w:rsid w:val="008D2F14"/>
    <w:rsid w:val="008D5BA3"/>
    <w:rsid w:val="008E2FC9"/>
    <w:rsid w:val="008F01B1"/>
    <w:rsid w:val="008F3341"/>
    <w:rsid w:val="00900DD0"/>
    <w:rsid w:val="00902021"/>
    <w:rsid w:val="00906A2E"/>
    <w:rsid w:val="00936458"/>
    <w:rsid w:val="00940AA3"/>
    <w:rsid w:val="00942A63"/>
    <w:rsid w:val="00953B28"/>
    <w:rsid w:val="00983D45"/>
    <w:rsid w:val="00987FAB"/>
    <w:rsid w:val="00997EB2"/>
    <w:rsid w:val="009B3C33"/>
    <w:rsid w:val="009E03BA"/>
    <w:rsid w:val="009E5D3E"/>
    <w:rsid w:val="00A10797"/>
    <w:rsid w:val="00A113A9"/>
    <w:rsid w:val="00A26084"/>
    <w:rsid w:val="00A47CC1"/>
    <w:rsid w:val="00A51982"/>
    <w:rsid w:val="00A55CC6"/>
    <w:rsid w:val="00AA75FE"/>
    <w:rsid w:val="00AC5A13"/>
    <w:rsid w:val="00AD1BF4"/>
    <w:rsid w:val="00AF33E7"/>
    <w:rsid w:val="00B05916"/>
    <w:rsid w:val="00B411ED"/>
    <w:rsid w:val="00B456AC"/>
    <w:rsid w:val="00B45B54"/>
    <w:rsid w:val="00B806D9"/>
    <w:rsid w:val="00B9385D"/>
    <w:rsid w:val="00BA03AF"/>
    <w:rsid w:val="00BC13F2"/>
    <w:rsid w:val="00BE279A"/>
    <w:rsid w:val="00BF3F25"/>
    <w:rsid w:val="00BF4E2D"/>
    <w:rsid w:val="00C0177C"/>
    <w:rsid w:val="00C12FAE"/>
    <w:rsid w:val="00C1728F"/>
    <w:rsid w:val="00C20D71"/>
    <w:rsid w:val="00C26DCE"/>
    <w:rsid w:val="00C32B64"/>
    <w:rsid w:val="00C34FF2"/>
    <w:rsid w:val="00C62A29"/>
    <w:rsid w:val="00CA2AFA"/>
    <w:rsid w:val="00CA7078"/>
    <w:rsid w:val="00CC73EE"/>
    <w:rsid w:val="00CD01EE"/>
    <w:rsid w:val="00CD3318"/>
    <w:rsid w:val="00CF5A07"/>
    <w:rsid w:val="00D16E43"/>
    <w:rsid w:val="00D21DE7"/>
    <w:rsid w:val="00D23611"/>
    <w:rsid w:val="00D33D4D"/>
    <w:rsid w:val="00D342F5"/>
    <w:rsid w:val="00D36162"/>
    <w:rsid w:val="00D41681"/>
    <w:rsid w:val="00D53EBF"/>
    <w:rsid w:val="00D772A6"/>
    <w:rsid w:val="00D82418"/>
    <w:rsid w:val="00D86B8F"/>
    <w:rsid w:val="00D95653"/>
    <w:rsid w:val="00DB0415"/>
    <w:rsid w:val="00DD403A"/>
    <w:rsid w:val="00DD7139"/>
    <w:rsid w:val="00DE118F"/>
    <w:rsid w:val="00DE1372"/>
    <w:rsid w:val="00DE2321"/>
    <w:rsid w:val="00E10A05"/>
    <w:rsid w:val="00E300D7"/>
    <w:rsid w:val="00E401A4"/>
    <w:rsid w:val="00E402D7"/>
    <w:rsid w:val="00E47A6D"/>
    <w:rsid w:val="00E61C9B"/>
    <w:rsid w:val="00E6248A"/>
    <w:rsid w:val="00E63192"/>
    <w:rsid w:val="00EC19F8"/>
    <w:rsid w:val="00EC4873"/>
    <w:rsid w:val="00EE4DD6"/>
    <w:rsid w:val="00EE5B60"/>
    <w:rsid w:val="00F151A6"/>
    <w:rsid w:val="00F323CF"/>
    <w:rsid w:val="00F37912"/>
    <w:rsid w:val="00F74FF1"/>
    <w:rsid w:val="00F816E7"/>
    <w:rsid w:val="00FA2BFC"/>
    <w:rsid w:val="00FA60EA"/>
    <w:rsid w:val="00FB165B"/>
    <w:rsid w:val="00FB42C6"/>
    <w:rsid w:val="00FB6239"/>
    <w:rsid w:val="00FD7E3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E4E8A"/>
  <w15:chartTrackingRefBased/>
  <w15:docId w15:val="{1EE117F5-3F35-439B-8D50-4D389D5B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1E104C"/>
    <w:pPr>
      <w:spacing w:after="200" w:line="276" w:lineRule="auto"/>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67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833"/>
  </w:style>
  <w:style w:type="paragraph" w:styleId="Footer">
    <w:name w:val="footer"/>
    <w:basedOn w:val="Normal"/>
    <w:link w:val="FooterChar"/>
    <w:uiPriority w:val="99"/>
    <w:unhideWhenUsed/>
    <w:rsid w:val="00767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833"/>
  </w:style>
  <w:style w:type="paragraph" w:customStyle="1" w:styleId="ydp83d81c6yiv5416527635msonormal">
    <w:name w:val="ydp83d81c6yiv5416527635msonormal"/>
    <w:basedOn w:val="Normal"/>
    <w:rsid w:val="000163E1"/>
    <w:pPr>
      <w:spacing w:before="100" w:beforeAutospacing="1" w:after="100" w:afterAutospacing="1" w:line="240" w:lineRule="auto"/>
    </w:pPr>
    <w:rPr>
      <w:rFonts w:ascii="Calibri" w:hAnsi="Calibri" w:cs="Calibri"/>
      <w:lang w:eastAsia="en-NZ"/>
    </w:rPr>
  </w:style>
  <w:style w:type="character" w:styleId="Hyperlink">
    <w:name w:val="Hyperlink"/>
    <w:basedOn w:val="DefaultParagraphFont"/>
    <w:uiPriority w:val="99"/>
    <w:unhideWhenUsed/>
    <w:rsid w:val="00CF5A07"/>
    <w:rPr>
      <w:color w:val="0563C1" w:themeColor="hyperlink"/>
      <w:u w:val="single"/>
    </w:rPr>
  </w:style>
  <w:style w:type="character" w:styleId="UnresolvedMention">
    <w:name w:val="Unresolved Mention"/>
    <w:basedOn w:val="DefaultParagraphFont"/>
    <w:uiPriority w:val="99"/>
    <w:semiHidden/>
    <w:unhideWhenUsed/>
    <w:rsid w:val="00CF5A07"/>
    <w:rPr>
      <w:color w:val="605E5C"/>
      <w:shd w:val="clear" w:color="auto" w:fill="E1DFDD"/>
    </w:rPr>
  </w:style>
  <w:style w:type="character" w:styleId="FollowedHyperlink">
    <w:name w:val="FollowedHyperlink"/>
    <w:basedOn w:val="DefaultParagraphFont"/>
    <w:uiPriority w:val="99"/>
    <w:semiHidden/>
    <w:unhideWhenUsed/>
    <w:rsid w:val="00CF5A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069458">
      <w:bodyDiv w:val="1"/>
      <w:marLeft w:val="0"/>
      <w:marRight w:val="0"/>
      <w:marTop w:val="0"/>
      <w:marBottom w:val="0"/>
      <w:divBdr>
        <w:top w:val="none" w:sz="0" w:space="0" w:color="auto"/>
        <w:left w:val="none" w:sz="0" w:space="0" w:color="auto"/>
        <w:bottom w:val="none" w:sz="0" w:space="0" w:color="auto"/>
        <w:right w:val="none" w:sz="0" w:space="0" w:color="auto"/>
      </w:divBdr>
    </w:div>
    <w:div w:id="98293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zoa.org.nz/find-a-surge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748</TotalTime>
  <Pages>3</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Karyn Eggers</dc:creator>
  <cp:keywords/>
  <dc:description/>
  <cp:lastModifiedBy>Matt Walker</cp:lastModifiedBy>
  <cp:revision>188</cp:revision>
  <cp:lastPrinted>2021-10-14T22:37:00Z</cp:lastPrinted>
  <dcterms:created xsi:type="dcterms:W3CDTF">2021-10-11T20:11:00Z</dcterms:created>
  <dcterms:modified xsi:type="dcterms:W3CDTF">2021-10-20T07:11:00Z</dcterms:modified>
</cp:coreProperties>
</file>